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FC7C36D" w:rsidR="00F110CD" w:rsidRPr="00C84F38" w:rsidRDefault="00F110CD" w:rsidP="2B86CEC1">
      <w:pPr>
        <w:pStyle w:val="Header"/>
        <w:tabs>
          <w:tab w:val="right" w:pos="9639"/>
        </w:tabs>
        <w:rPr>
          <w:bCs/>
          <w:sz w:val="24"/>
          <w:szCs w:val="24"/>
        </w:rPr>
      </w:pPr>
      <w:bookmarkStart w:id="0" w:name="_Hlk37418177"/>
      <w:r w:rsidRPr="00C84F38">
        <w:rPr>
          <w:bCs/>
          <w:sz w:val="24"/>
          <w:szCs w:val="24"/>
        </w:rPr>
        <w:t>3GPP TSG RA</w:t>
      </w:r>
      <w:r w:rsidR="00BA1872">
        <w:rPr>
          <w:bCs/>
          <w:sz w:val="24"/>
          <w:szCs w:val="24"/>
        </w:rPr>
        <w:t xml:space="preserve">N WG1 </w:t>
      </w:r>
      <w:r w:rsidR="00B65452">
        <w:rPr>
          <w:bCs/>
          <w:sz w:val="24"/>
          <w:szCs w:val="24"/>
        </w:rPr>
        <w:t>#</w:t>
      </w:r>
      <w:r w:rsidR="00191E79">
        <w:rPr>
          <w:bCs/>
          <w:sz w:val="24"/>
          <w:szCs w:val="24"/>
        </w:rPr>
        <w:t>10</w:t>
      </w:r>
      <w:r w:rsidR="00584CB8">
        <w:rPr>
          <w:bCs/>
          <w:sz w:val="24"/>
          <w:szCs w:val="24"/>
        </w:rPr>
        <w:t>9</w:t>
      </w:r>
      <w:r>
        <w:tab/>
      </w:r>
      <w:r w:rsidR="00BA1872">
        <w:rPr>
          <w:bCs/>
          <w:sz w:val="24"/>
          <w:szCs w:val="24"/>
        </w:rPr>
        <w:t>R1-</w:t>
      </w:r>
      <w:r w:rsidR="00191E79" w:rsidRPr="2B86CEC1">
        <w:rPr>
          <w:noProof w:val="0"/>
          <w:sz w:val="24"/>
          <w:szCs w:val="24"/>
        </w:rPr>
        <w:t>2</w:t>
      </w:r>
      <w:r w:rsidR="001B38EE" w:rsidRPr="2B86CEC1">
        <w:rPr>
          <w:noProof w:val="0"/>
          <w:sz w:val="24"/>
          <w:szCs w:val="24"/>
        </w:rPr>
        <w:t>204433</w:t>
      </w:r>
    </w:p>
    <w:p w14:paraId="30E02940" w14:textId="05D2194A"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2E7D4D">
        <w:rPr>
          <w:bCs/>
          <w:noProof w:val="0"/>
          <w:sz w:val="24"/>
          <w:szCs w:val="24"/>
        </w:rPr>
        <w:t xml:space="preserve">May </w:t>
      </w:r>
      <w:r w:rsidR="00A250D5">
        <w:rPr>
          <w:bCs/>
          <w:noProof w:val="0"/>
          <w:sz w:val="24"/>
          <w:szCs w:val="24"/>
        </w:rPr>
        <w:t>9</w:t>
      </w:r>
      <w:r w:rsidR="002E7D4D" w:rsidRPr="00B045CD">
        <w:rPr>
          <w:bCs/>
          <w:noProof w:val="0"/>
          <w:sz w:val="24"/>
          <w:szCs w:val="24"/>
          <w:vertAlign w:val="superscript"/>
        </w:rPr>
        <w:t>th</w:t>
      </w:r>
      <w:r w:rsidR="002E7D4D">
        <w:rPr>
          <w:bCs/>
          <w:noProof w:val="0"/>
          <w:sz w:val="24"/>
          <w:szCs w:val="24"/>
        </w:rPr>
        <w:t xml:space="preserve"> </w:t>
      </w:r>
      <w:r w:rsidR="00451BAE">
        <w:rPr>
          <w:bCs/>
          <w:noProof w:val="0"/>
          <w:sz w:val="24"/>
          <w:szCs w:val="24"/>
        </w:rPr>
        <w:t xml:space="preserve">– </w:t>
      </w:r>
      <w:r w:rsidR="001B38EE">
        <w:rPr>
          <w:bCs/>
          <w:noProof w:val="0"/>
          <w:sz w:val="24"/>
          <w:szCs w:val="24"/>
        </w:rPr>
        <w:t>2</w:t>
      </w:r>
      <w:r w:rsidR="00A250D5">
        <w:rPr>
          <w:bCs/>
          <w:noProof w:val="0"/>
          <w:sz w:val="24"/>
          <w:szCs w:val="24"/>
        </w:rPr>
        <w:t>0</w:t>
      </w:r>
      <w:proofErr w:type="gramStart"/>
      <w:r w:rsidR="002E7D4D" w:rsidRPr="00B045CD">
        <w:rPr>
          <w:bCs/>
          <w:noProof w:val="0"/>
          <w:sz w:val="24"/>
          <w:szCs w:val="24"/>
          <w:vertAlign w:val="superscript"/>
        </w:rPr>
        <w:t>th</w:t>
      </w:r>
      <w:r w:rsidR="002E7D4D">
        <w:rPr>
          <w:bCs/>
          <w:noProof w:val="0"/>
          <w:sz w:val="24"/>
          <w:szCs w:val="24"/>
        </w:rPr>
        <w:t xml:space="preserve"> </w:t>
      </w:r>
      <w:r w:rsidRPr="002778BD">
        <w:rPr>
          <w:bCs/>
          <w:noProof w:val="0"/>
          <w:sz w:val="24"/>
          <w:szCs w:val="24"/>
        </w:rPr>
        <w:t>,</w:t>
      </w:r>
      <w:proofErr w:type="gramEnd"/>
      <w:r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658E746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75EB7">
        <w:rPr>
          <w:rFonts w:cs="Arial"/>
          <w:b/>
          <w:bCs/>
          <w:sz w:val="24"/>
          <w:szCs w:val="24"/>
        </w:rPr>
        <w:t>9</w:t>
      </w:r>
      <w:r w:rsidR="00CC7843">
        <w:rPr>
          <w:rFonts w:cs="Arial"/>
          <w:b/>
          <w:bCs/>
          <w:sz w:val="24"/>
          <w:szCs w:val="24"/>
        </w:rPr>
        <w:t>.</w:t>
      </w:r>
      <w:r w:rsidR="00675EB7">
        <w:rPr>
          <w:rFonts w:cs="Arial"/>
          <w:b/>
          <w:bCs/>
          <w:sz w:val="24"/>
          <w:szCs w:val="24"/>
        </w:rPr>
        <w:t>3</w:t>
      </w:r>
      <w:r w:rsidR="00CC7843">
        <w:rPr>
          <w:rFonts w:cs="Arial"/>
          <w:b/>
          <w:bCs/>
          <w:sz w:val="24"/>
          <w:szCs w:val="24"/>
        </w:rPr>
        <w:t>.</w:t>
      </w:r>
      <w:r w:rsidR="00ED47D7">
        <w:rPr>
          <w:rFonts w:cs="Arial"/>
          <w:b/>
          <w:bCs/>
          <w:sz w:val="24"/>
          <w:szCs w:val="24"/>
        </w:rPr>
        <w:t>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4AA95D6"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016EB">
        <w:rPr>
          <w:rFonts w:ascii="Arial" w:hAnsi="Arial" w:cs="Arial"/>
          <w:b/>
          <w:bCs/>
          <w:sz w:val="24"/>
        </w:rPr>
        <w:t>R</w:t>
      </w:r>
      <w:r w:rsidR="00ED47D7">
        <w:rPr>
          <w:rFonts w:ascii="Arial" w:hAnsi="Arial" w:cs="Arial"/>
          <w:b/>
          <w:bCs/>
          <w:sz w:val="24"/>
        </w:rPr>
        <w:t xml:space="preserve">F </w:t>
      </w:r>
      <w:r w:rsidR="009016EB">
        <w:rPr>
          <w:rFonts w:ascii="Arial" w:hAnsi="Arial" w:cs="Arial"/>
          <w:b/>
          <w:bCs/>
          <w:sz w:val="24"/>
        </w:rPr>
        <w:t>considerations of dynamic TDD and SBFD</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16A0369" w14:textId="41266E49" w:rsidR="002D0FDB" w:rsidRDefault="002D0FDB" w:rsidP="002D0FDB">
      <w:pPr>
        <w:rPr>
          <w:lang w:val="en-US"/>
        </w:rPr>
      </w:pPr>
      <w:bookmarkStart w:id="1" w:name="_Hlk510705081"/>
      <w:r w:rsidRPr="002D0FDB">
        <w:t>RAN has agreed in RP-213591 a new Study Item on evolution of NR duplex operation with following objectives</w:t>
      </w:r>
      <w:r w:rsidRPr="002D0FDB">
        <w:rPr>
          <w:lang w:val="en-US"/>
        </w:rPr>
        <w:t> </w:t>
      </w:r>
      <w:r>
        <w:rPr>
          <w:lang w:val="en-US"/>
        </w:rPr>
        <w:t>[1]</w:t>
      </w:r>
      <w:r w:rsidR="000D2FD1">
        <w:rPr>
          <w:lang w:val="en-US"/>
        </w:rPr>
        <w:t>:</w:t>
      </w:r>
    </w:p>
    <w:tbl>
      <w:tblPr>
        <w:tblStyle w:val="TableGrid"/>
        <w:tblW w:w="0" w:type="auto"/>
        <w:tblLook w:val="04A0" w:firstRow="1" w:lastRow="0" w:firstColumn="1" w:lastColumn="0" w:noHBand="0" w:noVBand="1"/>
      </w:tblPr>
      <w:tblGrid>
        <w:gridCol w:w="9629"/>
      </w:tblGrid>
      <w:tr w:rsidR="000D2FD1" w14:paraId="12C942B5" w14:textId="77777777" w:rsidTr="000D2FD1">
        <w:tc>
          <w:tcPr>
            <w:tcW w:w="9629" w:type="dxa"/>
          </w:tcPr>
          <w:p w14:paraId="7C6A787E" w14:textId="77777777" w:rsidR="000D2FD1" w:rsidRPr="00CC1A1F" w:rsidRDefault="000D2FD1" w:rsidP="000D2FD1">
            <w:pPr>
              <w:ind w:right="-99"/>
              <w:jc w:val="both"/>
              <w:rPr>
                <w:bCs/>
                <w:lang w:eastAsia="ko-KR"/>
              </w:rPr>
            </w:pPr>
            <w:r w:rsidRPr="00CC1A1F">
              <w:rPr>
                <w:rFonts w:hint="eastAsia"/>
                <w:bCs/>
                <w:lang w:eastAsia="ko-KR"/>
              </w:rPr>
              <w:t xml:space="preserve">The detailed objectives are as </w:t>
            </w:r>
            <w:r w:rsidRPr="00CC1A1F">
              <w:rPr>
                <w:bCs/>
                <w:lang w:eastAsia="ko-KR"/>
              </w:rPr>
              <w:t>follows</w:t>
            </w:r>
            <w:r w:rsidRPr="00CC1A1F">
              <w:rPr>
                <w:rFonts w:hint="eastAsia"/>
                <w:bCs/>
                <w:lang w:eastAsia="ko-KR"/>
              </w:rPr>
              <w:t>:</w:t>
            </w:r>
          </w:p>
          <w:p w14:paraId="1B9D7735" w14:textId="77777777" w:rsidR="000D2FD1" w:rsidRPr="00CC1A1F" w:rsidRDefault="000D2FD1" w:rsidP="000D2FD1">
            <w:pPr>
              <w:numPr>
                <w:ilvl w:val="0"/>
                <w:numId w:val="43"/>
              </w:numPr>
              <w:jc w:val="both"/>
              <w:rPr>
                <w:lang w:val="en-US"/>
              </w:rPr>
            </w:pPr>
            <w:r w:rsidRPr="00CC1A1F">
              <w:rPr>
                <w:lang w:val="en-US"/>
              </w:rPr>
              <w:t>Identify applicable and relevant deployment scenarios (RAN1)</w:t>
            </w:r>
            <w:r>
              <w:rPr>
                <w:lang w:val="en-US"/>
              </w:rPr>
              <w:t>.</w:t>
            </w:r>
          </w:p>
          <w:p w14:paraId="02F2E26E" w14:textId="77777777" w:rsidR="000D2FD1" w:rsidRPr="00CC1A1F" w:rsidRDefault="000D2FD1" w:rsidP="000D2FD1">
            <w:pPr>
              <w:numPr>
                <w:ilvl w:val="0"/>
                <w:numId w:val="43"/>
              </w:numPr>
              <w:jc w:val="both"/>
              <w:rPr>
                <w:lang w:val="en-US"/>
              </w:rPr>
            </w:pPr>
            <w:r w:rsidRPr="00CC1A1F">
              <w:rPr>
                <w:lang w:val="en-US"/>
              </w:rPr>
              <w:t>Develop evaluation methodology for duplex enhancement (RAN1)</w:t>
            </w:r>
            <w:r>
              <w:rPr>
                <w:lang w:val="en-US"/>
              </w:rPr>
              <w:t>.</w:t>
            </w:r>
          </w:p>
          <w:p w14:paraId="3AE555F3" w14:textId="77777777" w:rsidR="000D2FD1" w:rsidRDefault="000D2FD1" w:rsidP="000D2FD1">
            <w:pPr>
              <w:numPr>
                <w:ilvl w:val="0"/>
                <w:numId w:val="43"/>
              </w:numPr>
              <w:jc w:val="both"/>
              <w:rPr>
                <w:lang w:val="en-US"/>
              </w:rPr>
            </w:pPr>
            <w:r>
              <w:rPr>
                <w:rFonts w:eastAsia="맑은 고딕" w:hint="eastAsia"/>
                <w:lang w:val="en-US" w:eastAsia="ko-KR"/>
              </w:rPr>
              <w:t xml:space="preserve">Study </w:t>
            </w:r>
            <w:r>
              <w:rPr>
                <w:rFonts w:eastAsia="맑은 고딕"/>
                <w:lang w:val="en-US" w:eastAsia="ko-KR"/>
              </w:rPr>
              <w:t xml:space="preserve">the </w:t>
            </w:r>
            <w:proofErr w:type="spellStart"/>
            <w:r>
              <w:rPr>
                <w:rFonts w:eastAsia="맑은 고딕"/>
                <w:lang w:val="en-US" w:eastAsia="ko-KR"/>
              </w:rPr>
              <w:t>subband</w:t>
            </w:r>
            <w:proofErr w:type="spellEnd"/>
            <w:r>
              <w:rPr>
                <w:rFonts w:eastAsia="맑은 고딕"/>
                <w:lang w:val="en-US" w:eastAsia="ko-KR"/>
              </w:rPr>
              <w:t xml:space="preserve"> non-overlapping full duplex and </w:t>
            </w:r>
            <w:bookmarkStart w:id="2" w:name="_Hlk89796625"/>
            <w:r>
              <w:rPr>
                <w:rFonts w:eastAsia="맑은 고딕"/>
                <w:lang w:val="en-US" w:eastAsia="ko-KR"/>
              </w:rPr>
              <w:t xml:space="preserve">potential enhancements on </w:t>
            </w:r>
            <w:r w:rsidRPr="00DE0AB8">
              <w:rPr>
                <w:rFonts w:eastAsia="맑은 고딕"/>
                <w:bCs/>
                <w:lang w:eastAsia="ko-KR"/>
              </w:rPr>
              <w:t>dynamic/flexible TDD</w:t>
            </w:r>
            <w:bookmarkEnd w:id="2"/>
            <w:r>
              <w:rPr>
                <w:rFonts w:eastAsia="맑은 고딕"/>
                <w:bCs/>
                <w:lang w:eastAsia="ko-KR"/>
              </w:rPr>
              <w:t xml:space="preserve"> (RAN1, RAN4).</w:t>
            </w:r>
          </w:p>
          <w:p w14:paraId="0B1F29C5" w14:textId="77777777" w:rsidR="000D2FD1" w:rsidRPr="000D2FD1" w:rsidRDefault="000D2FD1" w:rsidP="000D2FD1">
            <w:pPr>
              <w:pStyle w:val="ListParagraph"/>
              <w:numPr>
                <w:ilvl w:val="0"/>
                <w:numId w:val="42"/>
              </w:numPr>
              <w:overflowPunct w:val="0"/>
              <w:autoSpaceDE w:val="0"/>
              <w:autoSpaceDN w:val="0"/>
              <w:adjustRightInd w:val="0"/>
              <w:spacing w:after="180"/>
              <w:jc w:val="both"/>
              <w:textAlignment w:val="baseline"/>
              <w:rPr>
                <w:rFonts w:eastAsia="맑은 고딕"/>
                <w:bCs/>
                <w:sz w:val="20"/>
                <w:szCs w:val="20"/>
                <w:lang w:val="en-US" w:eastAsia="ko-KR"/>
              </w:rPr>
            </w:pPr>
            <w:r w:rsidRPr="000D2FD1">
              <w:rPr>
                <w:rFonts w:eastAsia="맑은 고딕"/>
                <w:bCs/>
                <w:sz w:val="20"/>
                <w:szCs w:val="20"/>
                <w:lang w:val="en-US" w:eastAsia="ko-KR"/>
              </w:rPr>
              <w:t>Identify possible schemes and evaluate their feasibility and performances (RAN1).</w:t>
            </w:r>
          </w:p>
          <w:p w14:paraId="4592108E" w14:textId="77777777" w:rsidR="000D2FD1" w:rsidRPr="000D2FD1" w:rsidRDefault="000D2FD1" w:rsidP="000D2FD1">
            <w:pPr>
              <w:pStyle w:val="ListParagraph"/>
              <w:numPr>
                <w:ilvl w:val="0"/>
                <w:numId w:val="42"/>
              </w:numPr>
              <w:overflowPunct w:val="0"/>
              <w:autoSpaceDE w:val="0"/>
              <w:autoSpaceDN w:val="0"/>
              <w:adjustRightInd w:val="0"/>
              <w:spacing w:after="180"/>
              <w:jc w:val="both"/>
              <w:textAlignment w:val="baseline"/>
              <w:rPr>
                <w:rFonts w:eastAsia="맑은 고딕"/>
                <w:bCs/>
                <w:sz w:val="20"/>
                <w:szCs w:val="20"/>
                <w:lang w:val="en-US" w:eastAsia="ko-KR"/>
              </w:rPr>
            </w:pPr>
            <w:r w:rsidRPr="000D2FD1">
              <w:rPr>
                <w:rFonts w:eastAsia="맑은 고딕"/>
                <w:bCs/>
                <w:sz w:val="20"/>
                <w:szCs w:val="20"/>
                <w:lang w:val="en-US" w:eastAsia="ko-KR"/>
              </w:rPr>
              <w:t xml:space="preserve">Study inter-gNB and inter-UE CLI handling and identify solutions to manage them (RAN1). </w:t>
            </w:r>
          </w:p>
          <w:p w14:paraId="0F91F4F3" w14:textId="77777777" w:rsidR="000D2FD1" w:rsidRPr="000D2FD1" w:rsidRDefault="000D2FD1" w:rsidP="000D2FD1">
            <w:pPr>
              <w:pStyle w:val="ListParagraph"/>
              <w:numPr>
                <w:ilvl w:val="1"/>
                <w:numId w:val="42"/>
              </w:numPr>
              <w:overflowPunct w:val="0"/>
              <w:autoSpaceDE w:val="0"/>
              <w:autoSpaceDN w:val="0"/>
              <w:adjustRightInd w:val="0"/>
              <w:spacing w:after="180"/>
              <w:jc w:val="both"/>
              <w:textAlignment w:val="baseline"/>
              <w:rPr>
                <w:rFonts w:eastAsia="맑은 고딕"/>
                <w:bCs/>
                <w:sz w:val="20"/>
                <w:szCs w:val="20"/>
                <w:lang w:val="en-US" w:eastAsia="ko-KR"/>
              </w:rPr>
            </w:pPr>
            <w:r w:rsidRPr="000D2FD1">
              <w:rPr>
                <w:rFonts w:eastAsia="맑은 고딕"/>
                <w:bCs/>
                <w:sz w:val="20"/>
                <w:szCs w:val="20"/>
                <w:lang w:val="en-US" w:eastAsia="ko-KR"/>
              </w:rPr>
              <w:t>Consider intra-</w:t>
            </w:r>
            <w:proofErr w:type="spellStart"/>
            <w:r w:rsidRPr="000D2FD1">
              <w:rPr>
                <w:rFonts w:eastAsia="맑은 고딕"/>
                <w:bCs/>
                <w:sz w:val="20"/>
                <w:szCs w:val="20"/>
                <w:lang w:val="en-US" w:eastAsia="ko-KR"/>
              </w:rPr>
              <w:t>subband</w:t>
            </w:r>
            <w:proofErr w:type="spellEnd"/>
            <w:r w:rsidRPr="000D2FD1">
              <w:rPr>
                <w:rFonts w:eastAsia="맑은 고딕"/>
                <w:bCs/>
                <w:sz w:val="20"/>
                <w:szCs w:val="20"/>
                <w:lang w:val="en-US" w:eastAsia="ko-KR"/>
              </w:rPr>
              <w:t xml:space="preserve"> CLI and inter-</w:t>
            </w:r>
            <w:proofErr w:type="spellStart"/>
            <w:r w:rsidRPr="000D2FD1">
              <w:rPr>
                <w:rFonts w:eastAsia="맑은 고딕"/>
                <w:bCs/>
                <w:sz w:val="20"/>
                <w:szCs w:val="20"/>
                <w:lang w:val="en-US" w:eastAsia="ko-KR"/>
              </w:rPr>
              <w:t>subband</w:t>
            </w:r>
            <w:proofErr w:type="spellEnd"/>
            <w:r w:rsidRPr="000D2FD1">
              <w:rPr>
                <w:rFonts w:eastAsia="맑은 고딕"/>
                <w:bCs/>
                <w:sz w:val="20"/>
                <w:szCs w:val="20"/>
                <w:lang w:val="en-US" w:eastAsia="ko-KR"/>
              </w:rPr>
              <w:t xml:space="preserve"> CLI in case of the </w:t>
            </w:r>
            <w:proofErr w:type="spellStart"/>
            <w:r w:rsidRPr="000D2FD1">
              <w:rPr>
                <w:rFonts w:eastAsia="맑은 고딕"/>
                <w:sz w:val="20"/>
                <w:szCs w:val="20"/>
                <w:lang w:val="en-US" w:eastAsia="ko-KR"/>
              </w:rPr>
              <w:t>subband</w:t>
            </w:r>
            <w:proofErr w:type="spellEnd"/>
            <w:r w:rsidRPr="000D2FD1">
              <w:rPr>
                <w:rFonts w:eastAsia="맑은 고딕"/>
                <w:sz w:val="20"/>
                <w:szCs w:val="20"/>
                <w:lang w:val="en-US" w:eastAsia="ko-KR"/>
              </w:rPr>
              <w:t xml:space="preserve"> non-overlapping full duplex</w:t>
            </w:r>
            <w:r w:rsidRPr="000D2FD1">
              <w:rPr>
                <w:rFonts w:eastAsia="맑은 고딕"/>
                <w:bCs/>
                <w:sz w:val="20"/>
                <w:szCs w:val="20"/>
                <w:lang w:val="en-US" w:eastAsia="ko-KR"/>
              </w:rPr>
              <w:t>.</w:t>
            </w:r>
          </w:p>
          <w:p w14:paraId="6D6ECE30" w14:textId="77777777" w:rsidR="000D2FD1" w:rsidRPr="000D2FD1" w:rsidRDefault="000D2FD1" w:rsidP="000D2FD1">
            <w:pPr>
              <w:pStyle w:val="ListParagraph"/>
              <w:numPr>
                <w:ilvl w:val="0"/>
                <w:numId w:val="42"/>
              </w:numPr>
              <w:overflowPunct w:val="0"/>
              <w:autoSpaceDE w:val="0"/>
              <w:autoSpaceDN w:val="0"/>
              <w:adjustRightInd w:val="0"/>
              <w:spacing w:after="180"/>
              <w:jc w:val="both"/>
              <w:textAlignment w:val="baseline"/>
              <w:rPr>
                <w:rFonts w:eastAsia="맑은 고딕"/>
                <w:bCs/>
                <w:sz w:val="20"/>
                <w:szCs w:val="20"/>
                <w:lang w:val="en-US" w:eastAsia="ko-KR"/>
              </w:rPr>
            </w:pPr>
            <w:r w:rsidRPr="000D2FD1">
              <w:rPr>
                <w:rFonts w:eastAsia="맑은 고딕"/>
                <w:bCs/>
                <w:sz w:val="20"/>
                <w:szCs w:val="20"/>
                <w:lang w:val="en-US" w:eastAsia="ko-KR"/>
              </w:rPr>
              <w:t>Study the performance of the identified schemes as well as the impact on legacy operation assuming their co-existence in co-channel and adjacent channels (RAN1).</w:t>
            </w:r>
          </w:p>
          <w:p w14:paraId="4EE90551" w14:textId="77777777" w:rsidR="000D2FD1" w:rsidRPr="000D2FD1" w:rsidRDefault="000D2FD1" w:rsidP="000D2FD1">
            <w:pPr>
              <w:pStyle w:val="ListParagraph"/>
              <w:numPr>
                <w:ilvl w:val="0"/>
                <w:numId w:val="42"/>
              </w:numPr>
              <w:overflowPunct w:val="0"/>
              <w:autoSpaceDE w:val="0"/>
              <w:autoSpaceDN w:val="0"/>
              <w:adjustRightInd w:val="0"/>
              <w:spacing w:after="180"/>
              <w:textAlignment w:val="baseline"/>
              <w:rPr>
                <w:rFonts w:eastAsia="맑은 고딕"/>
                <w:bCs/>
                <w:sz w:val="20"/>
                <w:szCs w:val="20"/>
                <w:lang w:val="en-US" w:eastAsia="ko-KR"/>
              </w:rPr>
            </w:pPr>
            <w:r w:rsidRPr="000D2FD1">
              <w:rPr>
                <w:rFonts w:eastAsia="맑은 고딕"/>
                <w:bCs/>
                <w:sz w:val="20"/>
                <w:szCs w:val="20"/>
                <w:lang w:val="en-US" w:eastAsia="ko-KR"/>
              </w:rPr>
              <w:t>Study the feasibility of and impact on RF requirements considering adjacent-channel co-existence with the legacy operation (RAN4).</w:t>
            </w:r>
          </w:p>
          <w:p w14:paraId="5C7DD442" w14:textId="77777777" w:rsidR="000D2FD1" w:rsidRPr="000D2FD1" w:rsidRDefault="000D2FD1" w:rsidP="000D2FD1">
            <w:pPr>
              <w:pStyle w:val="ListParagraph"/>
              <w:numPr>
                <w:ilvl w:val="0"/>
                <w:numId w:val="42"/>
              </w:numPr>
              <w:overflowPunct w:val="0"/>
              <w:autoSpaceDE w:val="0"/>
              <w:autoSpaceDN w:val="0"/>
              <w:adjustRightInd w:val="0"/>
              <w:spacing w:after="180"/>
              <w:jc w:val="both"/>
              <w:textAlignment w:val="baseline"/>
              <w:rPr>
                <w:rFonts w:eastAsia="맑은 고딕"/>
                <w:bCs/>
                <w:sz w:val="20"/>
                <w:szCs w:val="20"/>
                <w:lang w:val="en-US" w:eastAsia="ko-KR"/>
              </w:rPr>
            </w:pPr>
            <w:r w:rsidRPr="000D2FD1">
              <w:rPr>
                <w:rFonts w:eastAsia="맑은 고딕"/>
                <w:bCs/>
                <w:sz w:val="20"/>
                <w:szCs w:val="20"/>
                <w:lang w:val="en-US" w:eastAsia="ko-KR"/>
              </w:rPr>
              <w:t>Study the feasibility of and impact on RF requirements considering the self-interference, the inter-</w:t>
            </w:r>
            <w:proofErr w:type="spellStart"/>
            <w:r w:rsidRPr="000D2FD1">
              <w:rPr>
                <w:rFonts w:eastAsia="맑은 고딕"/>
                <w:bCs/>
                <w:sz w:val="20"/>
                <w:szCs w:val="20"/>
                <w:lang w:val="en-US" w:eastAsia="ko-KR"/>
              </w:rPr>
              <w:t>subband</w:t>
            </w:r>
            <w:proofErr w:type="spellEnd"/>
            <w:r w:rsidRPr="000D2FD1">
              <w:rPr>
                <w:rFonts w:eastAsia="맑은 고딕"/>
                <w:bCs/>
                <w:sz w:val="20"/>
                <w:szCs w:val="20"/>
                <w:lang w:val="en-US" w:eastAsia="ko-KR"/>
              </w:rPr>
              <w:t xml:space="preserve"> CLI, and the inter-operator CLI at </w:t>
            </w:r>
            <w:proofErr w:type="spellStart"/>
            <w:r w:rsidRPr="000D2FD1">
              <w:rPr>
                <w:rFonts w:eastAsia="맑은 고딕"/>
                <w:bCs/>
                <w:sz w:val="20"/>
                <w:szCs w:val="20"/>
                <w:lang w:val="en-US" w:eastAsia="ko-KR"/>
              </w:rPr>
              <w:t>gNB</w:t>
            </w:r>
            <w:proofErr w:type="spellEnd"/>
            <w:r w:rsidRPr="000D2FD1">
              <w:rPr>
                <w:rFonts w:eastAsia="맑은 고딕"/>
                <w:bCs/>
                <w:sz w:val="20"/>
                <w:szCs w:val="20"/>
                <w:lang w:val="en-US" w:eastAsia="ko-KR"/>
              </w:rPr>
              <w:t xml:space="preserve"> and the inter-</w:t>
            </w:r>
            <w:proofErr w:type="spellStart"/>
            <w:r w:rsidRPr="000D2FD1">
              <w:rPr>
                <w:rFonts w:eastAsia="맑은 고딕"/>
                <w:bCs/>
                <w:sz w:val="20"/>
                <w:szCs w:val="20"/>
                <w:lang w:val="en-US" w:eastAsia="ko-KR"/>
              </w:rPr>
              <w:t>subband</w:t>
            </w:r>
            <w:proofErr w:type="spellEnd"/>
            <w:r w:rsidRPr="000D2FD1">
              <w:rPr>
                <w:rFonts w:eastAsia="맑은 고딕"/>
                <w:bCs/>
                <w:sz w:val="20"/>
                <w:szCs w:val="20"/>
                <w:lang w:val="en-US" w:eastAsia="ko-KR"/>
              </w:rPr>
              <w:t xml:space="preserve"> CLI and inter-operator CLI at UE (RAN4).</w:t>
            </w:r>
          </w:p>
          <w:p w14:paraId="6244CE07" w14:textId="77777777" w:rsidR="000D2FD1" w:rsidRPr="000D2FD1" w:rsidRDefault="000D2FD1" w:rsidP="000D2FD1">
            <w:pPr>
              <w:pStyle w:val="ListParagraph"/>
              <w:numPr>
                <w:ilvl w:val="0"/>
                <w:numId w:val="44"/>
              </w:numPr>
              <w:overflowPunct w:val="0"/>
              <w:autoSpaceDE w:val="0"/>
              <w:autoSpaceDN w:val="0"/>
              <w:adjustRightInd w:val="0"/>
              <w:spacing w:after="180"/>
              <w:jc w:val="both"/>
              <w:textAlignment w:val="baseline"/>
              <w:rPr>
                <w:rFonts w:eastAsia="맑은 고딕"/>
                <w:bCs/>
                <w:sz w:val="20"/>
                <w:szCs w:val="20"/>
                <w:lang w:val="en-US" w:eastAsia="ko-KR"/>
              </w:rPr>
            </w:pPr>
            <w:r w:rsidRPr="000D2FD1">
              <w:rPr>
                <w:rFonts w:eastAsia="맑은 고딕"/>
                <w:bCs/>
                <w:sz w:val="20"/>
                <w:szCs w:val="20"/>
                <w:lang w:val="en-US"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04A0CB85" w14:textId="77777777" w:rsidR="000D2FD1" w:rsidRPr="000D2FD1" w:rsidRDefault="000D2FD1" w:rsidP="000D2FD1">
            <w:pPr>
              <w:pStyle w:val="ListParagraph"/>
              <w:numPr>
                <w:ilvl w:val="0"/>
                <w:numId w:val="44"/>
              </w:numPr>
              <w:overflowPunct w:val="0"/>
              <w:autoSpaceDE w:val="0"/>
              <w:autoSpaceDN w:val="0"/>
              <w:adjustRightInd w:val="0"/>
              <w:spacing w:after="180"/>
              <w:jc w:val="both"/>
              <w:textAlignment w:val="baseline"/>
              <w:rPr>
                <w:sz w:val="20"/>
                <w:szCs w:val="20"/>
                <w:lang w:val="en-US"/>
              </w:rPr>
            </w:pPr>
            <w:r w:rsidRPr="000D2FD1">
              <w:rPr>
                <w:sz w:val="20"/>
                <w:szCs w:val="20"/>
                <w:lang w:val="en-US"/>
              </w:rPr>
              <w:t>Summarize the regulatory aspects that have to be considered for deploying the identified duplex enhancements in TDD unpaired spectrum (RAN4).</w:t>
            </w:r>
          </w:p>
          <w:p w14:paraId="5C751591" w14:textId="1DCA5DBC" w:rsidR="000D2FD1" w:rsidRDefault="000D2FD1" w:rsidP="000D2FD1">
            <w:pPr>
              <w:rPr>
                <w:lang w:val="en-US"/>
              </w:rPr>
            </w:pPr>
            <w:r>
              <w:rPr>
                <w:rFonts w:eastAsia="맑은 고딕"/>
                <w:bCs/>
                <w:lang w:eastAsia="ko-KR"/>
              </w:rPr>
              <w:t>Note: For potential enhancements on dynamic/flexible TDD, utilize the outcome of discussion in Rel-15 and Rel-16 while avoiding the repetition of the same discussion.</w:t>
            </w:r>
          </w:p>
        </w:tc>
      </w:tr>
    </w:tbl>
    <w:p w14:paraId="73FF6F56" w14:textId="7232C94E" w:rsidR="000D2FD1" w:rsidRPr="002D0FDB" w:rsidRDefault="000D2FD1" w:rsidP="002D0FDB">
      <w:pPr>
        <w:rPr>
          <w:lang w:val="en-US"/>
        </w:rPr>
      </w:pPr>
    </w:p>
    <w:p w14:paraId="700C7682" w14:textId="0E2B2466" w:rsidR="000D2FD1" w:rsidRDefault="000D2FD1" w:rsidP="002D0FDB">
      <w:pPr>
        <w:rPr>
          <w:lang w:val="en-US"/>
        </w:rPr>
      </w:pPr>
      <w:r>
        <w:rPr>
          <w:lang w:val="en-US"/>
        </w:rPr>
        <w:t xml:space="preserve">This contribution presents aspects that need to be considered in the study from the RF and implementation perspective. Many of the topics may be evaluated by RAN4, but the results need to be taken into consideration in the RAN1 studies </w:t>
      </w:r>
      <w:proofErr w:type="gramStart"/>
      <w:r>
        <w:rPr>
          <w:lang w:val="en-US"/>
        </w:rPr>
        <w:t>in order for</w:t>
      </w:r>
      <w:proofErr w:type="gramEnd"/>
      <w:r>
        <w:rPr>
          <w:lang w:val="en-US"/>
        </w:rPr>
        <w:t xml:space="preserve"> the </w:t>
      </w:r>
      <w:r w:rsidR="00D5188D">
        <w:rPr>
          <w:lang w:val="en-US"/>
        </w:rPr>
        <w:t xml:space="preserve">dynamic TDD and sub-band non-overlapping full duplex (SBFD) </w:t>
      </w:r>
      <w:r>
        <w:rPr>
          <w:lang w:val="en-US"/>
        </w:rPr>
        <w:t>feature</w:t>
      </w:r>
      <w:r w:rsidR="00B45B8B">
        <w:rPr>
          <w:lang w:val="en-US"/>
        </w:rPr>
        <w:t>s</w:t>
      </w:r>
      <w:r>
        <w:rPr>
          <w:lang w:val="en-US"/>
        </w:rPr>
        <w:t xml:space="preserve"> to be successful.</w:t>
      </w:r>
    </w:p>
    <w:bookmarkEnd w:id="1"/>
    <w:p w14:paraId="64B1AAEC" w14:textId="77777777" w:rsidR="00F129DE" w:rsidRDefault="00F129DE" w:rsidP="002D0FDB">
      <w:pPr>
        <w:rPr>
          <w:lang w:val="en-US"/>
        </w:rPr>
      </w:pPr>
    </w:p>
    <w:p w14:paraId="10445A01" w14:textId="2FA7C505" w:rsidR="00885580" w:rsidRDefault="002B609D" w:rsidP="00885580">
      <w:pPr>
        <w:pStyle w:val="Heading1"/>
      </w:pPr>
      <w:r>
        <w:t>Discussion</w:t>
      </w:r>
    </w:p>
    <w:p w14:paraId="523E1107" w14:textId="04BD1193" w:rsidR="002B609D" w:rsidRDefault="008F2194" w:rsidP="008F2194">
      <w:pPr>
        <w:pStyle w:val="Heading2"/>
      </w:pPr>
      <w:r>
        <w:t>Adjacent channel</w:t>
      </w:r>
    </w:p>
    <w:p w14:paraId="455950A5" w14:textId="7C1A2A70" w:rsidR="000D2FD1" w:rsidRDefault="002E5B73" w:rsidP="002E5B73">
      <w:pPr>
        <w:pStyle w:val="Heading3"/>
      </w:pPr>
      <w:r>
        <w:t>General</w:t>
      </w:r>
    </w:p>
    <w:p w14:paraId="12DB0413" w14:textId="65D66F6C" w:rsidR="002E5B73" w:rsidRDefault="002E5B73" w:rsidP="002E5B73">
      <w:r>
        <w:t xml:space="preserve">The operation with dynamic TDD and </w:t>
      </w:r>
      <w:r w:rsidR="00D5188D">
        <w:t>SBFD</w:t>
      </w:r>
      <w:r>
        <w:t xml:space="preserve"> should be possible without significant constraints on the adjacent channel deployments. Many of the NR TDD bands e.g. around 3.5 to 4 GHz are allocated to multiple operators, with each having spectrum assignments in the order of 100 MHz or less. Operators should be able to deploy their networks </w:t>
      </w:r>
      <w:r>
        <w:lastRenderedPageBreak/>
        <w:t>without excess restrictions coming from the other operators, or without having to undue protect the other operators networks. Traditionally this coexistence has been guaranteed by synchronization of the TDD UL/DL configurations and UL/DL switching</w:t>
      </w:r>
      <w:r w:rsidR="00571CC9">
        <w:t xml:space="preserve"> times</w:t>
      </w:r>
      <w:r>
        <w:t xml:space="preserve">, and </w:t>
      </w:r>
      <w:r w:rsidR="00571CC9">
        <w:t xml:space="preserve">the </w:t>
      </w:r>
      <w:r>
        <w:t xml:space="preserve">reasonable RAN4 RF requirements </w:t>
      </w:r>
      <w:r w:rsidR="00DE1CF6">
        <w:t xml:space="preserve">that are </w:t>
      </w:r>
      <w:r>
        <w:t>derived from this kind of deployment.</w:t>
      </w:r>
    </w:p>
    <w:p w14:paraId="31CD9459" w14:textId="1E6F3A59" w:rsidR="00CF5E36" w:rsidRDefault="00130DE9" w:rsidP="002E5B73">
      <w:r>
        <w:t xml:space="preserve">The dynamic TDD studies in </w:t>
      </w:r>
      <w:r w:rsidR="004A7DEA">
        <w:t xml:space="preserve">Rel-16 considered adjacent channel coexistence, </w:t>
      </w:r>
      <w:r w:rsidR="009A3164">
        <w:t xml:space="preserve">but </w:t>
      </w:r>
      <w:r w:rsidR="00F9596A">
        <w:t>SBFD</w:t>
      </w:r>
      <w:r w:rsidR="009A3164">
        <w:t xml:space="preserve"> warrants </w:t>
      </w:r>
      <w:r w:rsidR="00DB10EA">
        <w:t xml:space="preserve">that some of the aspects are reviewed </w:t>
      </w:r>
      <w:r w:rsidR="0088425F">
        <w:t>again</w:t>
      </w:r>
      <w:r w:rsidR="00F4584E">
        <w:t>.</w:t>
      </w:r>
      <w:r w:rsidR="00327373">
        <w:t xml:space="preserve"> </w:t>
      </w:r>
      <w:r w:rsidR="002864FF">
        <w:t>Since the main goal</w:t>
      </w:r>
      <w:r w:rsidR="00B73B94">
        <w:t xml:space="preserve">s of the SI are related to improving uplink performance, </w:t>
      </w:r>
      <w:r w:rsidR="0067012B">
        <w:t xml:space="preserve">the assumption is that some of the downlink slots are used for uplink. This introduces </w:t>
      </w:r>
      <w:r w:rsidR="009F6F1D">
        <w:t>interference scenarios for base station to base station</w:t>
      </w:r>
      <w:r w:rsidR="00327373">
        <w:t>, and UE to UE.</w:t>
      </w:r>
    </w:p>
    <w:p w14:paraId="2794DCF1" w14:textId="113EC4F5" w:rsidR="009E77AD" w:rsidRDefault="009E77AD" w:rsidP="009E77AD">
      <w:pPr>
        <w:pStyle w:val="Heading3"/>
      </w:pPr>
      <w:r>
        <w:t xml:space="preserve">Base station to base station </w:t>
      </w:r>
      <w:r w:rsidR="006C1F8D">
        <w:t>interference</w:t>
      </w:r>
      <w:r w:rsidR="008E784C">
        <w:t xml:space="preserve"> (co-location)</w:t>
      </w:r>
    </w:p>
    <w:p w14:paraId="11550B82" w14:textId="426E88B7" w:rsidR="00CB20CE" w:rsidRDefault="006C1F8D" w:rsidP="003B1FBB">
      <w:r>
        <w:t xml:space="preserve">When one </w:t>
      </w:r>
      <w:r w:rsidR="00D16C4D">
        <w:t xml:space="preserve">base station is transmitting downlink while an adjacent one is receiving uplink, the </w:t>
      </w:r>
      <w:r w:rsidR="00C90C71">
        <w:t>interference mechanisms are due to transmitter unwanted emissions, and receiver selectivity.</w:t>
      </w:r>
    </w:p>
    <w:p w14:paraId="16FB2124" w14:textId="2EF44FEC" w:rsidR="008D7B28" w:rsidRPr="000A34B2" w:rsidRDefault="007C60F0" w:rsidP="003B1FBB">
      <w:pPr>
        <w:rPr>
          <w:b/>
          <w:bCs/>
          <w:u w:val="single"/>
        </w:rPr>
      </w:pPr>
      <w:r w:rsidRPr="000A34B2">
        <w:rPr>
          <w:b/>
          <w:bCs/>
          <w:u w:val="single"/>
        </w:rPr>
        <w:t>Transmitter unwanted emissions</w:t>
      </w:r>
      <w:r w:rsidR="008D7B28" w:rsidRPr="000A34B2">
        <w:rPr>
          <w:b/>
          <w:bCs/>
          <w:u w:val="single"/>
        </w:rPr>
        <w:t xml:space="preserve"> on adjacent channel</w:t>
      </w:r>
    </w:p>
    <w:p w14:paraId="4452D6B0" w14:textId="2DEF3861" w:rsidR="00A90678" w:rsidRDefault="007C60F0" w:rsidP="003B1FBB">
      <w:r>
        <w:t>Firstly, t</w:t>
      </w:r>
      <w:r w:rsidR="00A90678">
        <w:t xml:space="preserve">he </w:t>
      </w:r>
      <w:r w:rsidR="006263C1">
        <w:t xml:space="preserve">transmitter unwanted emissions </w:t>
      </w:r>
      <w:r w:rsidR="003E58C4">
        <w:t>generated due to transmitter non-</w:t>
      </w:r>
      <w:proofErr w:type="spellStart"/>
      <w:r w:rsidR="003E58C4">
        <w:t>idealities</w:t>
      </w:r>
      <w:proofErr w:type="spellEnd"/>
      <w:r w:rsidR="003E58C4">
        <w:t xml:space="preserve"> may couple to a receiver</w:t>
      </w:r>
      <w:r w:rsidR="007626C3">
        <w:t xml:space="preserve">, and cause a rise in the receiver’s noise floor. The unwanted emissions are characterized by </w:t>
      </w:r>
      <w:r w:rsidR="00310E36">
        <w:t>unwanted emission mask and adjacent channel leakage ratio (ACLR)</w:t>
      </w:r>
      <w:r w:rsidR="00E9719A">
        <w:t>. For simplicity</w:t>
      </w:r>
      <w:r w:rsidR="00CA5E19">
        <w:t xml:space="preserve"> in the case of gNB, the ACLR provides a decent measure of unwanted emissions on the adjacent channel. </w:t>
      </w:r>
      <w:r w:rsidR="00E232AA">
        <w:t>As a starting point</w:t>
      </w:r>
      <w:r w:rsidR="00193DFB">
        <w:t xml:space="preserve"> for FR1</w:t>
      </w:r>
      <w:r w:rsidR="00E232AA">
        <w:t xml:space="preserve">, 45 dB </w:t>
      </w:r>
      <w:r w:rsidR="0044567E">
        <w:t xml:space="preserve">ACLR </w:t>
      </w:r>
      <w:r w:rsidR="00E232AA">
        <w:t>as defined in RAN4 may be used</w:t>
      </w:r>
      <w:r w:rsidR="00AB3697">
        <w:t xml:space="preserve"> (from 38.104 clause</w:t>
      </w:r>
      <w:r w:rsidR="0055590C">
        <w:t xml:space="preserve"> 6.6.3):</w:t>
      </w:r>
    </w:p>
    <w:tbl>
      <w:tblPr>
        <w:tblStyle w:val="TableGrid"/>
        <w:tblW w:w="0" w:type="auto"/>
        <w:tblLook w:val="04A0" w:firstRow="1" w:lastRow="0" w:firstColumn="1" w:lastColumn="0" w:noHBand="0" w:noVBand="1"/>
      </w:tblPr>
      <w:tblGrid>
        <w:gridCol w:w="9629"/>
      </w:tblGrid>
      <w:tr w:rsidR="00963F8C" w14:paraId="0D49B326" w14:textId="77777777" w:rsidTr="00963F8C">
        <w:tc>
          <w:tcPr>
            <w:tcW w:w="9629" w:type="dxa"/>
          </w:tcPr>
          <w:p w14:paraId="3E1CB93A" w14:textId="77777777" w:rsidR="00584FE5" w:rsidRDefault="00584FE5" w:rsidP="00584FE5">
            <w:pPr>
              <w:pStyle w:val="TH"/>
            </w:pPr>
            <w:r w:rsidRPr="00F95B02">
              <w:t>Table 6.6.</w:t>
            </w:r>
            <w:r w:rsidRPr="00F95B02">
              <w:rPr>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193"/>
              <w:gridCol w:w="2180"/>
              <w:gridCol w:w="1942"/>
              <w:gridCol w:w="2053"/>
              <w:gridCol w:w="1029"/>
            </w:tblGrid>
            <w:tr w:rsidR="00584FE5" w:rsidRPr="00F95B02" w14:paraId="54C8F80D" w14:textId="77777777" w:rsidTr="00584FE5">
              <w:trPr>
                <w:cantSplit/>
                <w:jc w:val="center"/>
              </w:trPr>
              <w:tc>
                <w:tcPr>
                  <w:tcW w:w="2193" w:type="dxa"/>
                  <w:tcBorders>
                    <w:bottom w:val="single" w:sz="6" w:space="0" w:color="auto"/>
                  </w:tcBorders>
                </w:tcPr>
                <w:p w14:paraId="6EFAB3D8" w14:textId="77777777" w:rsidR="00584FE5" w:rsidRPr="00F95B02" w:rsidRDefault="00584FE5" w:rsidP="00584FE5">
                  <w:pPr>
                    <w:pStyle w:val="TAH"/>
                    <w:rPr>
                      <w:rFonts w:cs="v5.0.0"/>
                    </w:rPr>
                  </w:pPr>
                  <w:r w:rsidRPr="00F95B02">
                    <w:rPr>
                      <w:rFonts w:cs="v5.0.0"/>
                      <w:i/>
                    </w:rPr>
                    <w:t>BS channel bandwidth</w:t>
                  </w:r>
                  <w:r w:rsidRPr="00F95B02">
                    <w:rPr>
                      <w:rFonts w:cs="v5.0.0"/>
                    </w:rPr>
                    <w:t xml:space="preserve"> of </w:t>
                  </w:r>
                  <w:r w:rsidRPr="00F95B02">
                    <w:rPr>
                      <w:rFonts w:cs="v5.0.0"/>
                      <w:i/>
                    </w:rPr>
                    <w:t>l</w:t>
                  </w:r>
                  <w:r w:rsidRPr="00F95B02">
                    <w:rPr>
                      <w:rFonts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80" w:type="dxa"/>
                </w:tcPr>
                <w:p w14:paraId="22D25424" w14:textId="77777777" w:rsidR="00584FE5" w:rsidRPr="00F95B02" w:rsidRDefault="00584FE5" w:rsidP="00584FE5">
                  <w:pPr>
                    <w:pStyle w:val="TAH"/>
                    <w:rPr>
                      <w:rFonts w:cs="v5.0.0"/>
                    </w:rPr>
                  </w:pPr>
                  <w:r w:rsidRPr="00F95B02">
                    <w:rPr>
                      <w:rFonts w:cs="v5.0.0"/>
                    </w:rPr>
                    <w:t>BS adjacent channel centre frequency offset below the lowest or above the highest carrier centre frequency transmitted</w:t>
                  </w:r>
                </w:p>
              </w:tc>
              <w:tc>
                <w:tcPr>
                  <w:tcW w:w="1942" w:type="dxa"/>
                </w:tcPr>
                <w:p w14:paraId="79F2A77D" w14:textId="77777777" w:rsidR="00584FE5" w:rsidRPr="00F95B02" w:rsidRDefault="00584FE5" w:rsidP="00584FE5">
                  <w:pPr>
                    <w:pStyle w:val="TAH"/>
                    <w:rPr>
                      <w:rFonts w:cs="v5.0.0"/>
                    </w:rPr>
                  </w:pPr>
                  <w:r w:rsidRPr="00F95B02">
                    <w:rPr>
                      <w:rFonts w:cs="v5.0.0"/>
                    </w:rPr>
                    <w:t>Assumed adjacent channel carrier (informative)</w:t>
                  </w:r>
                </w:p>
              </w:tc>
              <w:tc>
                <w:tcPr>
                  <w:tcW w:w="2053" w:type="dxa"/>
                </w:tcPr>
                <w:p w14:paraId="6D107260" w14:textId="77777777" w:rsidR="00584FE5" w:rsidRPr="00F95B02" w:rsidRDefault="00584FE5" w:rsidP="00584FE5">
                  <w:pPr>
                    <w:pStyle w:val="TAH"/>
                    <w:rPr>
                      <w:rFonts w:cs="v5.0.0"/>
                    </w:rPr>
                  </w:pPr>
                  <w:r w:rsidRPr="00F95B02">
                    <w:rPr>
                      <w:rFonts w:cs="v5.0.0"/>
                    </w:rPr>
                    <w:t>Filter on the adjacent channel frequency and corresponding filter bandwidth</w:t>
                  </w:r>
                </w:p>
              </w:tc>
              <w:tc>
                <w:tcPr>
                  <w:tcW w:w="1029" w:type="dxa"/>
                </w:tcPr>
                <w:p w14:paraId="2B00B268" w14:textId="77777777" w:rsidR="00584FE5" w:rsidRPr="00F95B02" w:rsidRDefault="00584FE5" w:rsidP="00584FE5">
                  <w:pPr>
                    <w:pStyle w:val="TAH"/>
                    <w:rPr>
                      <w:rFonts w:cs="v5.0.0"/>
                    </w:rPr>
                  </w:pPr>
                  <w:r w:rsidRPr="00F95B02">
                    <w:rPr>
                      <w:rFonts w:cs="v5.0.0"/>
                    </w:rPr>
                    <w:t>ACLR limit</w:t>
                  </w:r>
                </w:p>
              </w:tc>
            </w:tr>
            <w:tr w:rsidR="00584FE5" w:rsidRPr="00F95B02" w14:paraId="77927393" w14:textId="77777777" w:rsidTr="00584FE5">
              <w:trPr>
                <w:cantSplit/>
                <w:jc w:val="center"/>
              </w:trPr>
              <w:tc>
                <w:tcPr>
                  <w:tcW w:w="2193" w:type="dxa"/>
                  <w:tcBorders>
                    <w:bottom w:val="nil"/>
                  </w:tcBorders>
                </w:tcPr>
                <w:p w14:paraId="3CE0F45F" w14:textId="77777777" w:rsidR="00584FE5" w:rsidRPr="00F95B02" w:rsidRDefault="00584FE5" w:rsidP="00584FE5">
                  <w:pPr>
                    <w:pStyle w:val="TAC"/>
                  </w:pPr>
                  <w:r w:rsidRPr="00F95B02">
                    <w:rPr>
                      <w:rFonts w:cs="v5.0.0"/>
                    </w:rPr>
                    <w:t>5, 10, 15, 20</w:t>
                  </w:r>
                  <w:r w:rsidRPr="00F95B02">
                    <w:rPr>
                      <w:rFonts w:cs="v5.0.0"/>
                      <w:lang w:eastAsia="zh-CN"/>
                    </w:rPr>
                    <w:t>, 25, 30, 40, 50, 60, 70, 80, 90,100</w:t>
                  </w:r>
                  <w:r w:rsidRPr="00F95B02" w:rsidDel="006E53BE">
                    <w:rPr>
                      <w:rFonts w:cs="v5.0.0"/>
                      <w:lang w:eastAsia="zh-CN"/>
                    </w:rPr>
                    <w:t xml:space="preserve"> </w:t>
                  </w:r>
                </w:p>
              </w:tc>
              <w:tc>
                <w:tcPr>
                  <w:tcW w:w="2180" w:type="dxa"/>
                </w:tcPr>
                <w:p w14:paraId="1D0BBEB3" w14:textId="77777777" w:rsidR="00584FE5" w:rsidRPr="00F95B02" w:rsidRDefault="00584FE5" w:rsidP="00584FE5">
                  <w:pPr>
                    <w:pStyle w:val="TAC"/>
                  </w:pPr>
                  <w:proofErr w:type="spellStart"/>
                  <w:r w:rsidRPr="00F95B02">
                    <w:rPr>
                      <w:rFonts w:cs="Arial"/>
                    </w:rPr>
                    <w:t>BW</w:t>
                  </w:r>
                  <w:r w:rsidRPr="00F95B02">
                    <w:rPr>
                      <w:rFonts w:cs="Arial"/>
                      <w:vertAlign w:val="subscript"/>
                    </w:rPr>
                    <w:t>Channel</w:t>
                  </w:r>
                  <w:proofErr w:type="spellEnd"/>
                </w:p>
              </w:tc>
              <w:tc>
                <w:tcPr>
                  <w:tcW w:w="1942" w:type="dxa"/>
                </w:tcPr>
                <w:p w14:paraId="669F98DD" w14:textId="77777777" w:rsidR="00584FE5" w:rsidRPr="00F95B02" w:rsidRDefault="00584FE5" w:rsidP="00584FE5">
                  <w:pPr>
                    <w:pStyle w:val="TAC"/>
                  </w:pPr>
                  <w:r w:rsidRPr="00F95B02">
                    <w:t xml:space="preserve">NR of same BW </w:t>
                  </w:r>
                  <w:r w:rsidRPr="00F95B02">
                    <w:rPr>
                      <w:rFonts w:cs="v5.0.0"/>
                    </w:rPr>
                    <w:t>(Note 2)</w:t>
                  </w:r>
                </w:p>
              </w:tc>
              <w:tc>
                <w:tcPr>
                  <w:tcW w:w="2053" w:type="dxa"/>
                </w:tcPr>
                <w:p w14:paraId="13B84D33" w14:textId="77777777" w:rsidR="00584FE5" w:rsidRPr="00F95B02" w:rsidRDefault="00584FE5" w:rsidP="00584FE5">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29" w:type="dxa"/>
                </w:tcPr>
                <w:p w14:paraId="20765B1F" w14:textId="77777777" w:rsidR="00584FE5" w:rsidRPr="00584FE5" w:rsidRDefault="00584FE5" w:rsidP="00584FE5">
                  <w:pPr>
                    <w:pStyle w:val="TAC"/>
                    <w:rPr>
                      <w:highlight w:val="yellow"/>
                    </w:rPr>
                  </w:pPr>
                  <w:r w:rsidRPr="00584FE5">
                    <w:rPr>
                      <w:rFonts w:cs="v5.0.0"/>
                      <w:highlight w:val="yellow"/>
                    </w:rPr>
                    <w:t>45 dB</w:t>
                  </w:r>
                </w:p>
              </w:tc>
            </w:tr>
            <w:tr w:rsidR="00584FE5" w:rsidRPr="00F95B02" w14:paraId="21F805C3" w14:textId="77777777" w:rsidTr="00584FE5">
              <w:trPr>
                <w:cantSplit/>
                <w:jc w:val="center"/>
              </w:trPr>
              <w:tc>
                <w:tcPr>
                  <w:tcW w:w="2193" w:type="dxa"/>
                  <w:tcBorders>
                    <w:top w:val="nil"/>
                    <w:bottom w:val="nil"/>
                  </w:tcBorders>
                </w:tcPr>
                <w:p w14:paraId="4868BAE6" w14:textId="77777777" w:rsidR="00584FE5" w:rsidRPr="00F95B02" w:rsidRDefault="00584FE5" w:rsidP="00584FE5">
                  <w:pPr>
                    <w:pStyle w:val="TAC"/>
                  </w:pPr>
                </w:p>
              </w:tc>
              <w:tc>
                <w:tcPr>
                  <w:tcW w:w="2180" w:type="dxa"/>
                </w:tcPr>
                <w:p w14:paraId="74D6E3FE" w14:textId="77777777" w:rsidR="00584FE5" w:rsidRPr="00F95B02" w:rsidRDefault="00584FE5" w:rsidP="00584FE5">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2" w:type="dxa"/>
                </w:tcPr>
                <w:p w14:paraId="72F56A53" w14:textId="77777777" w:rsidR="00584FE5" w:rsidRPr="00F95B02" w:rsidRDefault="00584FE5" w:rsidP="00584FE5">
                  <w:pPr>
                    <w:pStyle w:val="TAC"/>
                  </w:pPr>
                  <w:r w:rsidRPr="00F95B02">
                    <w:t xml:space="preserve">NR of same BW </w:t>
                  </w:r>
                  <w:r w:rsidRPr="00F95B02">
                    <w:rPr>
                      <w:rFonts w:cs="v5.0.0"/>
                    </w:rPr>
                    <w:t>(Note 2)</w:t>
                  </w:r>
                </w:p>
              </w:tc>
              <w:tc>
                <w:tcPr>
                  <w:tcW w:w="2053" w:type="dxa"/>
                </w:tcPr>
                <w:p w14:paraId="4BFCF773" w14:textId="77777777" w:rsidR="00584FE5" w:rsidRPr="00F95B02" w:rsidRDefault="00584FE5" w:rsidP="00584FE5">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29" w:type="dxa"/>
                </w:tcPr>
                <w:p w14:paraId="42ADD603" w14:textId="77777777" w:rsidR="00584FE5" w:rsidRPr="00584FE5" w:rsidRDefault="00584FE5" w:rsidP="00584FE5">
                  <w:pPr>
                    <w:pStyle w:val="TAC"/>
                    <w:rPr>
                      <w:rFonts w:cs="v5.0.0"/>
                      <w:highlight w:val="yellow"/>
                    </w:rPr>
                  </w:pPr>
                  <w:r w:rsidRPr="00584FE5">
                    <w:rPr>
                      <w:rFonts w:cs="v5.0.0"/>
                      <w:highlight w:val="yellow"/>
                    </w:rPr>
                    <w:t>45 dB</w:t>
                  </w:r>
                </w:p>
              </w:tc>
            </w:tr>
            <w:tr w:rsidR="00584FE5" w:rsidRPr="00F95B02" w14:paraId="2EFBAED5" w14:textId="77777777" w:rsidTr="00584FE5">
              <w:trPr>
                <w:cantSplit/>
                <w:jc w:val="center"/>
              </w:trPr>
              <w:tc>
                <w:tcPr>
                  <w:tcW w:w="2193" w:type="dxa"/>
                  <w:tcBorders>
                    <w:top w:val="nil"/>
                    <w:bottom w:val="nil"/>
                  </w:tcBorders>
                </w:tcPr>
                <w:p w14:paraId="4301C70E" w14:textId="77777777" w:rsidR="00584FE5" w:rsidRPr="00F95B02" w:rsidRDefault="00584FE5" w:rsidP="00584FE5">
                  <w:pPr>
                    <w:pStyle w:val="TAC"/>
                  </w:pPr>
                </w:p>
              </w:tc>
              <w:tc>
                <w:tcPr>
                  <w:tcW w:w="2180" w:type="dxa"/>
                </w:tcPr>
                <w:p w14:paraId="363E4D49" w14:textId="77777777" w:rsidR="00584FE5" w:rsidRPr="00F95B02" w:rsidRDefault="00584FE5" w:rsidP="00584FE5">
                  <w:pPr>
                    <w:pStyle w:val="TAC"/>
                    <w:rPr>
                      <w:rFonts w:cs="v5.0.0"/>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+ 2.5 MHz</w:t>
                  </w:r>
                </w:p>
              </w:tc>
              <w:tc>
                <w:tcPr>
                  <w:tcW w:w="1942" w:type="dxa"/>
                </w:tcPr>
                <w:p w14:paraId="0F27C443" w14:textId="77777777" w:rsidR="00584FE5" w:rsidRPr="00F95B02" w:rsidRDefault="00584FE5" w:rsidP="00584FE5">
                  <w:pPr>
                    <w:pStyle w:val="TAC"/>
                  </w:pPr>
                  <w:r w:rsidRPr="00F95B02">
                    <w:rPr>
                      <w:rFonts w:cs="v5.0.0"/>
                      <w:lang w:eastAsia="zh-CN"/>
                    </w:rPr>
                    <w:t>5 MHz E-UTRA</w:t>
                  </w:r>
                </w:p>
              </w:tc>
              <w:tc>
                <w:tcPr>
                  <w:tcW w:w="2053" w:type="dxa"/>
                </w:tcPr>
                <w:p w14:paraId="03A0F08C" w14:textId="77777777" w:rsidR="00584FE5" w:rsidRPr="00F95B02" w:rsidRDefault="00584FE5" w:rsidP="00584FE5">
                  <w:pPr>
                    <w:pStyle w:val="TAC"/>
                    <w:rPr>
                      <w:rFonts w:cs="v5.0.0"/>
                    </w:rPr>
                  </w:pPr>
                  <w:r w:rsidRPr="00F95B02">
                    <w:rPr>
                      <w:rFonts w:cs="v5.0.0"/>
                    </w:rPr>
                    <w:t>Square (</w:t>
                  </w:r>
                  <w:r w:rsidRPr="00F95B02">
                    <w:rPr>
                      <w:rFonts w:cs="Arial"/>
                      <w:lang w:eastAsia="zh-CN"/>
                    </w:rPr>
                    <w:t>4.5 MHz</w:t>
                  </w:r>
                  <w:r w:rsidRPr="00F95B02">
                    <w:rPr>
                      <w:rFonts w:cs="v5.0.0"/>
                    </w:rPr>
                    <w:t>)</w:t>
                  </w:r>
                </w:p>
              </w:tc>
              <w:tc>
                <w:tcPr>
                  <w:tcW w:w="1029" w:type="dxa"/>
                </w:tcPr>
                <w:p w14:paraId="5038D2CC" w14:textId="77777777" w:rsidR="00584FE5" w:rsidRPr="00F95B02" w:rsidRDefault="00584FE5" w:rsidP="00584FE5">
                  <w:pPr>
                    <w:pStyle w:val="TAC"/>
                    <w:rPr>
                      <w:rFonts w:cs="v5.0.0"/>
                    </w:rPr>
                  </w:pPr>
                  <w:r w:rsidRPr="00F95B02">
                    <w:rPr>
                      <w:rFonts w:cs="v5.0.0"/>
                    </w:rPr>
                    <w:t>45 dB (Note 3)</w:t>
                  </w:r>
                </w:p>
              </w:tc>
            </w:tr>
            <w:tr w:rsidR="00584FE5" w:rsidRPr="00F95B02" w14:paraId="44C8EE4D" w14:textId="77777777" w:rsidTr="00584FE5">
              <w:trPr>
                <w:cantSplit/>
                <w:jc w:val="center"/>
              </w:trPr>
              <w:tc>
                <w:tcPr>
                  <w:tcW w:w="2193" w:type="dxa"/>
                  <w:tcBorders>
                    <w:top w:val="nil"/>
                  </w:tcBorders>
                </w:tcPr>
                <w:p w14:paraId="086EE93D" w14:textId="77777777" w:rsidR="00584FE5" w:rsidRPr="00F95B02" w:rsidRDefault="00584FE5" w:rsidP="00584FE5">
                  <w:pPr>
                    <w:pStyle w:val="TAC"/>
                  </w:pPr>
                </w:p>
              </w:tc>
              <w:tc>
                <w:tcPr>
                  <w:tcW w:w="2180" w:type="dxa"/>
                </w:tcPr>
                <w:p w14:paraId="21F6840E" w14:textId="77777777" w:rsidR="00584FE5" w:rsidRPr="00F95B02" w:rsidRDefault="00584FE5" w:rsidP="00584FE5">
                  <w:pPr>
                    <w:pStyle w:val="TAC"/>
                    <w:rPr>
                      <w:rFonts w:cs="Arial"/>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+ 7.5 MHz</w:t>
                  </w:r>
                </w:p>
              </w:tc>
              <w:tc>
                <w:tcPr>
                  <w:tcW w:w="1942" w:type="dxa"/>
                </w:tcPr>
                <w:p w14:paraId="0934DE16" w14:textId="77777777" w:rsidR="00584FE5" w:rsidRPr="00F95B02" w:rsidRDefault="00584FE5" w:rsidP="00584FE5">
                  <w:pPr>
                    <w:pStyle w:val="TAC"/>
                    <w:rPr>
                      <w:rFonts w:cs="v5.0.0"/>
                      <w:lang w:eastAsia="zh-CN"/>
                    </w:rPr>
                  </w:pPr>
                  <w:r w:rsidRPr="00F95B02">
                    <w:rPr>
                      <w:rFonts w:cs="v5.0.0"/>
                      <w:lang w:eastAsia="zh-CN"/>
                    </w:rPr>
                    <w:t>5 MHz E-UTRA</w:t>
                  </w:r>
                </w:p>
              </w:tc>
              <w:tc>
                <w:tcPr>
                  <w:tcW w:w="2053" w:type="dxa"/>
                </w:tcPr>
                <w:p w14:paraId="4C38B308" w14:textId="77777777" w:rsidR="00584FE5" w:rsidRPr="00F95B02" w:rsidRDefault="00584FE5" w:rsidP="00584FE5">
                  <w:pPr>
                    <w:pStyle w:val="TAC"/>
                    <w:rPr>
                      <w:rFonts w:cs="v5.0.0"/>
                    </w:rPr>
                  </w:pPr>
                  <w:r w:rsidRPr="00F95B02">
                    <w:rPr>
                      <w:rFonts w:cs="v5.0.0"/>
                    </w:rPr>
                    <w:t>Square (</w:t>
                  </w:r>
                  <w:r w:rsidRPr="00F95B02">
                    <w:rPr>
                      <w:rFonts w:cs="Arial"/>
                      <w:lang w:eastAsia="zh-CN"/>
                    </w:rPr>
                    <w:t>4.5 MHz</w:t>
                  </w:r>
                  <w:r w:rsidRPr="00F95B02">
                    <w:rPr>
                      <w:rFonts w:cs="v5.0.0"/>
                    </w:rPr>
                    <w:t>)</w:t>
                  </w:r>
                </w:p>
              </w:tc>
              <w:tc>
                <w:tcPr>
                  <w:tcW w:w="1029" w:type="dxa"/>
                </w:tcPr>
                <w:p w14:paraId="363906DC" w14:textId="77777777" w:rsidR="00584FE5" w:rsidRPr="00F95B02" w:rsidRDefault="00584FE5" w:rsidP="00584FE5">
                  <w:pPr>
                    <w:pStyle w:val="TAC"/>
                    <w:rPr>
                      <w:rFonts w:cs="v5.0.0"/>
                    </w:rPr>
                  </w:pPr>
                  <w:r w:rsidRPr="00F95B02">
                    <w:rPr>
                      <w:rFonts w:cs="v5.0.0"/>
                    </w:rPr>
                    <w:t>45 dB</w:t>
                  </w:r>
                  <w:r w:rsidRPr="00F95B02">
                    <w:rPr>
                      <w:rFonts w:cs="v5.0.0"/>
                      <w:lang w:eastAsia="zh-CN"/>
                    </w:rPr>
                    <w:t xml:space="preserve"> </w:t>
                  </w:r>
                  <w:r w:rsidRPr="00F95B02">
                    <w:rPr>
                      <w:rFonts w:cs="v5.0.0"/>
                    </w:rPr>
                    <w:t>(Note 3)</w:t>
                  </w:r>
                </w:p>
              </w:tc>
            </w:tr>
            <w:tr w:rsidR="00584FE5" w:rsidRPr="00F95B02" w14:paraId="40D08CFF" w14:textId="77777777" w:rsidTr="00584FE5">
              <w:trPr>
                <w:cantSplit/>
                <w:jc w:val="center"/>
              </w:trPr>
              <w:tc>
                <w:tcPr>
                  <w:tcW w:w="9397" w:type="dxa"/>
                  <w:gridSpan w:val="5"/>
                </w:tcPr>
                <w:p w14:paraId="6B6AEBA4" w14:textId="77777777" w:rsidR="00584FE5" w:rsidRPr="00F95B02" w:rsidRDefault="00584FE5" w:rsidP="00584FE5">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cs="Arial"/>
                      <w:i/>
                    </w:rPr>
                    <w:t>lowest/highest carrier</w:t>
                  </w:r>
                  <w:r w:rsidRPr="00F95B02">
                    <w:rPr>
                      <w:rFonts w:cs="Arial"/>
                    </w:rPr>
                    <w:t xml:space="preserve"> transmitted on the assigned channel frequency.</w:t>
                  </w:r>
                </w:p>
                <w:p w14:paraId="7FDEF374" w14:textId="77777777" w:rsidR="00584FE5" w:rsidRPr="00F95B02" w:rsidRDefault="00584FE5" w:rsidP="00584FE5">
                  <w:pPr>
                    <w:pStyle w:val="TAN"/>
                  </w:pPr>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p>
                <w:p w14:paraId="272E932A" w14:textId="77777777" w:rsidR="00584FE5" w:rsidRPr="00F95B02" w:rsidRDefault="00584FE5" w:rsidP="00584FE5">
                  <w:pPr>
                    <w:pStyle w:val="TAN"/>
                  </w:pPr>
                  <w:r w:rsidRPr="00F95B02">
                    <w:rPr>
                      <w:rFonts w:cs="Arial"/>
                    </w:rPr>
                    <w:t>NOTE 3:</w:t>
                  </w:r>
                  <w:r w:rsidRPr="00F95B02">
                    <w:rPr>
                      <w:rFonts w:cs="Arial"/>
                    </w:rPr>
                    <w:tab/>
                  </w:r>
                  <w:r w:rsidRPr="00F95B02">
                    <w:rPr>
                      <w:rFonts w:cs="Arial"/>
                      <w:lang w:eastAsia="zh-CN"/>
                    </w:rPr>
                    <w:t>The requirements are applicable when the band is also defined for E-UTRA or UTRA</w:t>
                  </w:r>
                  <w:r w:rsidRPr="00F95B02">
                    <w:rPr>
                      <w:rFonts w:cs="Arial"/>
                    </w:rPr>
                    <w:t>.</w:t>
                  </w:r>
                </w:p>
              </w:tc>
            </w:tr>
          </w:tbl>
          <w:p w14:paraId="28E5A723" w14:textId="7D5AD4E2" w:rsidR="00584FE5" w:rsidRDefault="00584FE5" w:rsidP="00584FE5">
            <w:r>
              <w:t xml:space="preserve"> </w:t>
            </w:r>
          </w:p>
        </w:tc>
      </w:tr>
    </w:tbl>
    <w:p w14:paraId="1DFD14E8" w14:textId="77777777" w:rsidR="00963F8C" w:rsidRDefault="00963F8C" w:rsidP="003B1FBB"/>
    <w:p w14:paraId="60402B73" w14:textId="4EF8FE6D" w:rsidR="00584FE5" w:rsidRDefault="00B27C0D" w:rsidP="003B1FBB">
      <w:r>
        <w:t>Note: the 45 dB assumption does not consider base station ACLR absolute basic limits, which may be more relaxed in some cases.</w:t>
      </w:r>
    </w:p>
    <w:p w14:paraId="1680D955" w14:textId="655CF07C" w:rsidR="001E71CD" w:rsidRDefault="006E6A5C" w:rsidP="003B1FBB">
      <w:r>
        <w:t>There is some physical separation between co-located base station antennas</w:t>
      </w:r>
      <w:r w:rsidR="00396602">
        <w:t>, which provides isolation from the transmitter to the receiver.</w:t>
      </w:r>
      <w:r w:rsidR="007254B3">
        <w:t xml:space="preserve"> The assumption </w:t>
      </w:r>
      <w:r w:rsidR="0019143B">
        <w:t xml:space="preserve">used </w:t>
      </w:r>
      <w:r w:rsidR="007254B3">
        <w:t>in RAN4 base station</w:t>
      </w:r>
      <w:r w:rsidR="0019143B">
        <w:t xml:space="preserve"> RF</w:t>
      </w:r>
      <w:r w:rsidR="007254B3">
        <w:t xml:space="preserve"> specifications is 30 dB</w:t>
      </w:r>
      <w:r w:rsidR="000E2866">
        <w:t>, as listed in 38.104 clause</w:t>
      </w:r>
      <w:r w:rsidR="00174468">
        <w:t>s</w:t>
      </w:r>
      <w:r w:rsidR="000E2866">
        <w:t xml:space="preserve"> 6.6.5.2.4</w:t>
      </w:r>
      <w:r w:rsidR="00174468">
        <w:t xml:space="preserve"> and 7.5.3, among others</w:t>
      </w:r>
      <w:r w:rsidR="000E2866">
        <w:t>:</w:t>
      </w:r>
    </w:p>
    <w:tbl>
      <w:tblPr>
        <w:tblStyle w:val="TableGrid"/>
        <w:tblW w:w="0" w:type="auto"/>
        <w:tblLook w:val="04A0" w:firstRow="1" w:lastRow="0" w:firstColumn="1" w:lastColumn="0" w:noHBand="0" w:noVBand="1"/>
      </w:tblPr>
      <w:tblGrid>
        <w:gridCol w:w="9629"/>
      </w:tblGrid>
      <w:tr w:rsidR="000E2866" w14:paraId="3BEFAF30" w14:textId="77777777" w:rsidTr="000E2866">
        <w:tc>
          <w:tcPr>
            <w:tcW w:w="9629" w:type="dxa"/>
          </w:tcPr>
          <w:p w14:paraId="7520A6D1" w14:textId="77777777" w:rsidR="000E2866" w:rsidRPr="00F95B02" w:rsidRDefault="000E2866" w:rsidP="000E2866">
            <w:pPr>
              <w:pStyle w:val="Heading5"/>
              <w:numPr>
                <w:ilvl w:val="0"/>
                <w:numId w:val="0"/>
              </w:numPr>
            </w:pPr>
            <w:bookmarkStart w:id="3" w:name="_Toc82621797"/>
            <w:r w:rsidRPr="00F95B02">
              <w:lastRenderedPageBreak/>
              <w:t>6.6.5.2.4</w:t>
            </w:r>
            <w:r w:rsidRPr="00F95B02">
              <w:tab/>
              <w:t>Co-location with other base stations</w:t>
            </w:r>
            <w:bookmarkEnd w:id="3"/>
          </w:p>
          <w:p w14:paraId="00AC8CBA" w14:textId="77777777" w:rsidR="000E2866" w:rsidRPr="00F95B02" w:rsidRDefault="000E2866" w:rsidP="000E2866">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2996B2F4" w14:textId="77777777" w:rsidR="000E2866" w:rsidRDefault="000E2866" w:rsidP="000E2866">
            <w:pPr>
              <w:rPr>
                <w:rFonts w:cs="v5.0.0"/>
              </w:rPr>
            </w:pPr>
            <w:r w:rsidRPr="00F95B02">
              <w:rPr>
                <w:rFonts w:cs="v5.0.0"/>
              </w:rPr>
              <w:t xml:space="preserve">The requirements assume a </w:t>
            </w:r>
            <w:r w:rsidRPr="000E2866">
              <w:rPr>
                <w:rFonts w:cs="v5.0.0"/>
                <w:highlight w:val="yellow"/>
              </w:rPr>
              <w:t>30 dB</w:t>
            </w:r>
            <w:r w:rsidRPr="00F95B02">
              <w:rPr>
                <w:rFonts w:cs="v5.0.0"/>
              </w:rPr>
              <w:t xml:space="preserve">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070F156E" w14:textId="77777777" w:rsidR="00174468" w:rsidRDefault="00174468" w:rsidP="000E2866">
            <w:pPr>
              <w:rPr>
                <w:rFonts w:cs="v5.0.0"/>
              </w:rPr>
            </w:pPr>
          </w:p>
          <w:p w14:paraId="68B5D6E1" w14:textId="77777777" w:rsidR="00174468" w:rsidRPr="00174468" w:rsidRDefault="00174468" w:rsidP="00174468">
            <w:pPr>
              <w:pStyle w:val="Heading3"/>
              <w:numPr>
                <w:ilvl w:val="0"/>
                <w:numId w:val="0"/>
              </w:numPr>
              <w:ind w:left="720" w:hanging="720"/>
              <w:rPr>
                <w:sz w:val="22"/>
              </w:rPr>
            </w:pPr>
            <w:bookmarkStart w:id="4" w:name="_Toc21127547"/>
            <w:bookmarkStart w:id="5" w:name="_Toc29811756"/>
            <w:bookmarkStart w:id="6" w:name="_Toc36817308"/>
            <w:bookmarkStart w:id="7" w:name="_Toc37260225"/>
            <w:bookmarkStart w:id="8" w:name="_Toc37267613"/>
            <w:bookmarkStart w:id="9" w:name="_Toc44712215"/>
            <w:bookmarkStart w:id="10" w:name="_Toc45893528"/>
            <w:bookmarkStart w:id="11" w:name="_Toc53178250"/>
            <w:bookmarkStart w:id="12" w:name="_Toc53178701"/>
            <w:bookmarkStart w:id="13" w:name="_Toc61178927"/>
            <w:bookmarkStart w:id="14" w:name="_Toc61179397"/>
            <w:bookmarkStart w:id="15" w:name="_Toc67916693"/>
            <w:bookmarkStart w:id="16" w:name="_Toc74663291"/>
            <w:bookmarkStart w:id="17" w:name="_Toc82621831"/>
            <w:r w:rsidRPr="00174468">
              <w:rPr>
                <w:sz w:val="22"/>
              </w:rPr>
              <w:t>7.5.3</w:t>
            </w:r>
            <w:r w:rsidRPr="00174468">
              <w:rPr>
                <w:sz w:val="22"/>
              </w:rPr>
              <w:tab/>
              <w:t>Co-location minimum requirements for BS type 1-C and BS type 1-H</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23015F3D" w14:textId="77777777" w:rsidR="00174468" w:rsidRPr="00F95B02" w:rsidRDefault="00174468" w:rsidP="00174468">
            <w:pPr>
              <w:rPr>
                <w:i/>
                <w:lang w:eastAsia="zh-CN"/>
              </w:rPr>
            </w:pPr>
            <w:r w:rsidRPr="00F95B02">
              <w:t xml:space="preserve">This additional blocking requirement may be applied for the protection of </w:t>
            </w:r>
            <w:r w:rsidRPr="00F95B02">
              <w:rPr>
                <w:lang w:val="en-US" w:eastAsia="zh-CN"/>
              </w:rPr>
              <w:t xml:space="preserve">NR </w:t>
            </w:r>
            <w:r w:rsidRPr="00F95B02">
              <w:t>BS receivers when GSM, CDMA, UTRA</w:t>
            </w:r>
            <w:r w:rsidRPr="00F95B02">
              <w:rPr>
                <w:lang w:val="en-US" w:eastAsia="zh-CN"/>
              </w:rPr>
              <w:t xml:space="preserve">, </w:t>
            </w:r>
            <w:r w:rsidRPr="00F95B02">
              <w:t xml:space="preserve">E-UTRA </w:t>
            </w:r>
            <w:r w:rsidRPr="00F95B02">
              <w:rPr>
                <w:lang w:val="en-US" w:eastAsia="zh-CN"/>
              </w:rPr>
              <w:t>or NR BS</w:t>
            </w:r>
            <w:r w:rsidRPr="00F95B02">
              <w:t xml:space="preserve"> operating in a different frequency band are co-located with a</w:t>
            </w:r>
            <w:r w:rsidRPr="00F95B02">
              <w:rPr>
                <w:lang w:val="en-US" w:eastAsia="zh-CN"/>
              </w:rPr>
              <w:t xml:space="preserve"> NR</w:t>
            </w:r>
            <w:r w:rsidRPr="00F95B02">
              <w:t xml:space="preserve"> BS. The requirement is applicable to all </w:t>
            </w:r>
            <w:r w:rsidRPr="00F95B02">
              <w:rPr>
                <w:i/>
              </w:rPr>
              <w:t>BS channel bandwidths</w:t>
            </w:r>
            <w:r w:rsidRPr="00F95B02">
              <w:t xml:space="preserve"> supported by the </w:t>
            </w:r>
            <w:r w:rsidRPr="00F95B02">
              <w:rPr>
                <w:lang w:val="en-US" w:eastAsia="zh-CN"/>
              </w:rPr>
              <w:t>NR</w:t>
            </w:r>
            <w:r w:rsidRPr="00F95B02">
              <w:t xml:space="preserve"> BS.</w:t>
            </w:r>
          </w:p>
          <w:p w14:paraId="4B05E359" w14:textId="69B837D2" w:rsidR="00174468" w:rsidRDefault="00174468" w:rsidP="00174468">
            <w:r w:rsidRPr="00F95B02">
              <w:t xml:space="preserve">The requirements in this clause assume a </w:t>
            </w:r>
            <w:r w:rsidRPr="00174468">
              <w:rPr>
                <w:highlight w:val="yellow"/>
              </w:rPr>
              <w:t>30 dB</w:t>
            </w:r>
            <w:r w:rsidRPr="00F95B02">
              <w:t xml:space="preserve"> coupling loss between interfering transmitter and </w:t>
            </w:r>
            <w:r w:rsidRPr="00F95B02">
              <w:rPr>
                <w:lang w:val="en-US" w:eastAsia="zh-CN"/>
              </w:rPr>
              <w:t>NR</w:t>
            </w:r>
            <w:r w:rsidRPr="00F95B02">
              <w:t xml:space="preserve"> BS receiver</w:t>
            </w:r>
            <w:r w:rsidRPr="00F95B02">
              <w:rPr>
                <w:lang w:eastAsia="zh-CN"/>
              </w:rPr>
              <w:t xml:space="preserve"> and are based on co-location with </w:t>
            </w:r>
            <w:r w:rsidRPr="00F95B02">
              <w:t>base stations of the same class.</w:t>
            </w:r>
          </w:p>
        </w:tc>
      </w:tr>
    </w:tbl>
    <w:p w14:paraId="2957D80B" w14:textId="77777777" w:rsidR="000E2866" w:rsidRDefault="000E2866" w:rsidP="003B1FBB"/>
    <w:p w14:paraId="1CD2CFFC" w14:textId="3C4124ED" w:rsidR="003B1FBB" w:rsidRDefault="007C60F0" w:rsidP="003B1FBB">
      <w:r>
        <w:t>A</w:t>
      </w:r>
      <w:r w:rsidR="0019143B">
        <w:t xml:space="preserve">s the transmitter </w:t>
      </w:r>
      <w:r w:rsidR="004A3A09">
        <w:t xml:space="preserve">interfering signal couples to the receiver antenna, the power will be split into the </w:t>
      </w:r>
      <w:r w:rsidR="00722E90">
        <w:t xml:space="preserve">different branches of the receiver. </w:t>
      </w:r>
      <w:r w:rsidR="003B1FBB">
        <w:t xml:space="preserve">Most of the NR TDD macro networks use </w:t>
      </w:r>
      <w:r w:rsidR="00E145E2">
        <w:t xml:space="preserve">active antenna systems (AAS), with multiple transceivers to enable </w:t>
      </w:r>
      <w:r w:rsidR="005E3ED7">
        <w:t>digital or hybrid beamforming.</w:t>
      </w:r>
      <w:r w:rsidR="00722E90">
        <w:t xml:space="preserve"> This </w:t>
      </w:r>
      <w:r w:rsidR="000277D3">
        <w:t>may help in dealing with the interference.</w:t>
      </w:r>
    </w:p>
    <w:p w14:paraId="6614A39E" w14:textId="7F86BD1D" w:rsidR="00111B5B" w:rsidRDefault="007C0CC2" w:rsidP="00111B5B">
      <w:pPr>
        <w:keepNext/>
        <w:jc w:val="center"/>
      </w:pPr>
      <w:r>
        <w:rPr>
          <w:noProof/>
        </w:rPr>
        <w:drawing>
          <wp:inline distT="0" distB="0" distL="0" distR="0" wp14:anchorId="4E0731BA" wp14:editId="1CDDAEC7">
            <wp:extent cx="3542030" cy="3078480"/>
            <wp:effectExtent l="0" t="0" r="0" b="762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42030" cy="3078480"/>
                    </a:xfrm>
                    <a:prstGeom prst="rect">
                      <a:avLst/>
                    </a:prstGeom>
                    <a:noFill/>
                  </pic:spPr>
                </pic:pic>
              </a:graphicData>
            </a:graphic>
          </wp:inline>
        </w:drawing>
      </w:r>
    </w:p>
    <w:p w14:paraId="211E98FC" w14:textId="5B48908A" w:rsidR="006955D7" w:rsidRDefault="00111B5B" w:rsidP="00111B5B">
      <w:pPr>
        <w:pStyle w:val="Caption"/>
        <w:jc w:val="center"/>
      </w:pPr>
      <w:r>
        <w:t xml:space="preserve">Figure </w:t>
      </w:r>
      <w:r>
        <w:fldChar w:fldCharType="begin"/>
      </w:r>
      <w:r>
        <w:instrText xml:space="preserve"> SEQ Figure \* ARABIC </w:instrText>
      </w:r>
      <w:r>
        <w:fldChar w:fldCharType="separate"/>
      </w:r>
      <w:r w:rsidR="00DD4847">
        <w:rPr>
          <w:noProof/>
        </w:rPr>
        <w:t>1</w:t>
      </w:r>
      <w:r>
        <w:fldChar w:fldCharType="end"/>
      </w:r>
      <w:r>
        <w:t>: Adjacent channel unwanted emissions</w:t>
      </w:r>
      <w:r w:rsidR="004F3158">
        <w:t xml:space="preserve"> for 100 MHz channel bandwidth</w:t>
      </w:r>
      <w:r w:rsidR="00DB0310">
        <w:t xml:space="preserve"> </w:t>
      </w:r>
      <w:r w:rsidR="00743F8E">
        <w:br/>
      </w:r>
      <w:r w:rsidR="00DB0310">
        <w:t xml:space="preserve">(Dense Urban: 44 dBm TRP transmit power and 5 dB </w:t>
      </w:r>
      <w:r w:rsidR="00DF5E14">
        <w:t xml:space="preserve">receiver </w:t>
      </w:r>
      <w:r w:rsidR="00DB0310">
        <w:t>NF).</w:t>
      </w:r>
    </w:p>
    <w:p w14:paraId="7A3BBFFC" w14:textId="31E4356B" w:rsidR="006955D7" w:rsidRDefault="00C70B87" w:rsidP="003B1FBB">
      <w:r>
        <w:t>Figure 1</w:t>
      </w:r>
      <w:r w:rsidR="00C73577">
        <w:t xml:space="preserve"> illustrates the </w:t>
      </w:r>
      <w:r>
        <w:t>adjacent channel interference impact at the victim gNB receiver.</w:t>
      </w:r>
      <w:r w:rsidR="00401799">
        <w:t xml:space="preserve"> The total unwanted emissions suppression</w:t>
      </w:r>
      <w:r w:rsidR="00BB6DFD">
        <w:t xml:space="preserve"> requirement is based on the receiver noise figure (e.g. 5 dB for macro base station), and the acceptable </w:t>
      </w:r>
      <w:r w:rsidR="00736998">
        <w:t xml:space="preserve">performance degradation. This total suppression value can be achieved through </w:t>
      </w:r>
      <w:r w:rsidR="00F42FD9">
        <w:t>1) transmitter ACLR, 2) antenna isolation, and 3) power splitting between victim gNB receivers</w:t>
      </w:r>
      <w:r w:rsidR="00B13696">
        <w:t>.</w:t>
      </w:r>
      <w:r w:rsidR="006A4B17">
        <w:t xml:space="preserve"> Note that SBFD (i.e. </w:t>
      </w:r>
      <w:r w:rsidR="00825DCD">
        <w:t xml:space="preserve">zeroing </w:t>
      </w:r>
      <w:r w:rsidR="00E6748F">
        <w:t xml:space="preserve">the UL </w:t>
      </w:r>
      <w:r w:rsidR="00745F12">
        <w:t xml:space="preserve">part of the channel) </w:t>
      </w:r>
      <w:r w:rsidR="006A4B17">
        <w:t>will not in general improve the unwanted emissions</w:t>
      </w:r>
      <w:r w:rsidR="000D3AA8">
        <w:t xml:space="preserve"> on the adjacent channel, as those are </w:t>
      </w:r>
      <w:r w:rsidR="00620A83">
        <w:t xml:space="preserve">heavily </w:t>
      </w:r>
      <w:r w:rsidR="00D462B0">
        <w:t xml:space="preserve">dominated by the </w:t>
      </w:r>
      <w:r w:rsidR="007112DB">
        <w:t xml:space="preserve">transmitter </w:t>
      </w:r>
      <w:r w:rsidR="00790190">
        <w:t>linearization</w:t>
      </w:r>
      <w:r w:rsidR="007112DB">
        <w:t xml:space="preserve"> process</w:t>
      </w:r>
      <w:r w:rsidR="005E6118">
        <w:t xml:space="preserve"> and do not depend on the </w:t>
      </w:r>
      <w:r w:rsidR="001C2D94">
        <w:t>transmit</w:t>
      </w:r>
      <w:r w:rsidR="00C05AB8">
        <w:t xml:space="preserve"> </w:t>
      </w:r>
      <w:r w:rsidR="00C20983">
        <w:t>configuration</w:t>
      </w:r>
      <w:r w:rsidR="00B06FE2">
        <w:t>.</w:t>
      </w:r>
    </w:p>
    <w:p w14:paraId="16555747" w14:textId="6CACB1B8" w:rsidR="00C12DAF" w:rsidRDefault="00C12DAF" w:rsidP="00C12DAF">
      <w:r>
        <w:t xml:space="preserve">Figure 2 shows the victim gNB receiver performance degradation as a function of ACLR + antenna isolation. For a typical 64TRX device, the adjacent channel suppression should be in the order of 115 dB or better to achieve small penalty, indicating about 70 dB of minimum isolation between the base station antennas in the Dense Urban scenario. Using the RAN4 assumptions of 30 dB isolation and 45 dB ACLR, the receiver performance degradation will be in the order of 40 </w:t>
      </w:r>
      <w:proofErr w:type="spellStart"/>
      <w:r>
        <w:t>dB.</w:t>
      </w:r>
      <w:proofErr w:type="spellEnd"/>
    </w:p>
    <w:p w14:paraId="52A76B35" w14:textId="77777777" w:rsidR="00DD4847" w:rsidRDefault="000461C4" w:rsidP="00D31773">
      <w:pPr>
        <w:keepNext/>
        <w:jc w:val="center"/>
      </w:pPr>
      <w:r>
        <w:rPr>
          <w:noProof/>
        </w:rPr>
        <w:lastRenderedPageBreak/>
        <w:drawing>
          <wp:inline distT="0" distB="0" distL="0" distR="0" wp14:anchorId="5F31DEF2" wp14:editId="50D566B3">
            <wp:extent cx="4584700" cy="2908300"/>
            <wp:effectExtent l="0" t="0" r="635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908300"/>
                    </a:xfrm>
                    <a:prstGeom prst="rect">
                      <a:avLst/>
                    </a:prstGeom>
                    <a:noFill/>
                  </pic:spPr>
                </pic:pic>
              </a:graphicData>
            </a:graphic>
          </wp:inline>
        </w:drawing>
      </w:r>
    </w:p>
    <w:p w14:paraId="2FEADD3A" w14:textId="02D539F0" w:rsidR="000461C4" w:rsidRDefault="00DD4847" w:rsidP="00DD4847">
      <w:pPr>
        <w:pStyle w:val="Caption"/>
        <w:jc w:val="center"/>
      </w:pPr>
      <w:bookmarkStart w:id="18" w:name="_Hlk100751940"/>
      <w:r>
        <w:t xml:space="preserve">Figure </w:t>
      </w:r>
      <w:r>
        <w:fldChar w:fldCharType="begin"/>
      </w:r>
      <w:r>
        <w:instrText xml:space="preserve"> SEQ Figure \* ARABIC </w:instrText>
      </w:r>
      <w:r>
        <w:fldChar w:fldCharType="separate"/>
      </w:r>
      <w:r>
        <w:rPr>
          <w:noProof/>
        </w:rPr>
        <w:t>2</w:t>
      </w:r>
      <w:r>
        <w:fldChar w:fldCharType="end"/>
      </w:r>
      <w:r>
        <w:t xml:space="preserve">: </w:t>
      </w:r>
      <w:proofErr w:type="spellStart"/>
      <w:r>
        <w:t>gNB</w:t>
      </w:r>
      <w:proofErr w:type="spellEnd"/>
      <w:r>
        <w:t xml:space="preserve"> receiver </w:t>
      </w:r>
      <w:proofErr w:type="spellStart"/>
      <w:r>
        <w:t>desense</w:t>
      </w:r>
      <w:proofErr w:type="spellEnd"/>
      <w:r>
        <w:t xml:space="preserve"> due to adjacent channel transmitter </w:t>
      </w:r>
      <w:r w:rsidR="00743F8E">
        <w:br/>
      </w:r>
      <w:bookmarkEnd w:id="18"/>
      <w:r>
        <w:t>(</w:t>
      </w:r>
      <w:r w:rsidR="00E243D9">
        <w:t>Dense Urban: 44 dBm TRP transmit power and</w:t>
      </w:r>
      <w:r>
        <w:t xml:space="preserve"> 5 dB </w:t>
      </w:r>
      <w:r w:rsidR="00DF5E14">
        <w:t xml:space="preserve">receiver </w:t>
      </w:r>
      <w:r>
        <w:t>NF).</w:t>
      </w:r>
    </w:p>
    <w:p w14:paraId="23D7B786" w14:textId="35979A0A" w:rsidR="00212373" w:rsidRDefault="00212373" w:rsidP="003B1FBB">
      <w:r>
        <w:t xml:space="preserve">Note that </w:t>
      </w:r>
      <w:r w:rsidR="006A3CCA">
        <w:t xml:space="preserve">from the base station unwanted emissions perspective, dynamic TDD and </w:t>
      </w:r>
      <w:r w:rsidR="00C12DAF">
        <w:t>SBFD</w:t>
      </w:r>
      <w:r w:rsidR="006A3CCA">
        <w:t xml:space="preserve"> are similar, and no great difference exists. In dynamic TDD, the </w:t>
      </w:r>
      <w:r w:rsidR="00731C1A">
        <w:t>adjacent channel interference is integrated across the whole channel, and the 45</w:t>
      </w:r>
      <w:r w:rsidR="00027444">
        <w:t> </w:t>
      </w:r>
      <w:r w:rsidR="00731C1A">
        <w:t xml:space="preserve">dB ACLR provides a good assumption of the </w:t>
      </w:r>
      <w:r w:rsidR="00C57F36">
        <w:t xml:space="preserve">leakage power. In </w:t>
      </w:r>
      <w:r w:rsidR="00A94028">
        <w:t>SBFD</w:t>
      </w:r>
      <w:r w:rsidR="00C57F36">
        <w:t>,</w:t>
      </w:r>
      <w:r w:rsidR="005D61AB">
        <w:t xml:space="preserve"> as stated above, the adjacent channel emissions will be similar as </w:t>
      </w:r>
      <w:r w:rsidR="00EA2015">
        <w:t>in dynamic TDD</w:t>
      </w:r>
      <w:r w:rsidR="00B24998">
        <w:t>, but</w:t>
      </w:r>
      <w:r w:rsidR="00C57F36">
        <w:t xml:space="preserve"> the </w:t>
      </w:r>
      <w:r w:rsidR="00FA405D">
        <w:t>victim</w:t>
      </w:r>
      <w:r w:rsidR="00AB6F7F">
        <w:t xml:space="preserve"> operator</w:t>
      </w:r>
      <w:r w:rsidR="00FA405D">
        <w:t xml:space="preserve"> </w:t>
      </w:r>
      <w:r w:rsidR="00C57F36">
        <w:t>uplink part may be located e.g. in the middle of the adjacent channel, or at the far edge</w:t>
      </w:r>
      <w:r w:rsidR="00454A04">
        <w:t>, hence providing some additional offset.</w:t>
      </w:r>
      <w:r w:rsidR="008F5244">
        <w:t xml:space="preserve"> </w:t>
      </w:r>
      <w:proofErr w:type="gramStart"/>
      <w:r w:rsidR="00B6027B">
        <w:t>H</w:t>
      </w:r>
      <w:r w:rsidR="008F5244">
        <w:t>owever</w:t>
      </w:r>
      <w:proofErr w:type="gramEnd"/>
      <w:r w:rsidR="008F5244">
        <w:t xml:space="preserve"> the shape of typical </w:t>
      </w:r>
      <w:r w:rsidR="00254C3B">
        <w:t xml:space="preserve">gNB </w:t>
      </w:r>
      <w:r w:rsidR="008F5244">
        <w:t>transmitter emissions</w:t>
      </w:r>
      <w:r w:rsidR="00254C3B">
        <w:t xml:space="preserve"> are relatively flat across the adjacent channel, and only </w:t>
      </w:r>
      <w:r w:rsidR="00722682">
        <w:t xml:space="preserve">about </w:t>
      </w:r>
      <w:r w:rsidR="00685938">
        <w:t>1</w:t>
      </w:r>
      <w:r w:rsidR="00722682">
        <w:t>-5 dB improvement could be reasonably expected</w:t>
      </w:r>
      <w:r w:rsidR="002E0058">
        <w:t>, if any</w:t>
      </w:r>
      <w:r w:rsidR="00722682">
        <w:t>.</w:t>
      </w:r>
    </w:p>
    <w:p w14:paraId="67AB9FD7" w14:textId="0E9C4F46" w:rsidR="00C64938" w:rsidRPr="00C64938" w:rsidRDefault="00453666" w:rsidP="003B1FBB">
      <w:pPr>
        <w:rPr>
          <w:b/>
          <w:bCs/>
        </w:rPr>
      </w:pPr>
      <w:r>
        <w:rPr>
          <w:b/>
          <w:bCs/>
        </w:rPr>
        <w:t xml:space="preserve">Observation </w:t>
      </w:r>
      <w:r w:rsidR="005F0BFB">
        <w:rPr>
          <w:b/>
          <w:bCs/>
        </w:rPr>
        <w:t>1</w:t>
      </w:r>
      <w:r w:rsidR="00C64938" w:rsidRPr="00C64938">
        <w:rPr>
          <w:b/>
          <w:bCs/>
        </w:rPr>
        <w:t xml:space="preserve">: </w:t>
      </w:r>
      <w:r w:rsidR="004D2295" w:rsidRPr="004D2295">
        <w:rPr>
          <w:b/>
          <w:bCs/>
        </w:rPr>
        <w:t xml:space="preserve">For a typical 64TRX device, the adjacent channel suppression should be in the order of 115 dB or better to achieve small penalty, </w:t>
      </w:r>
      <w:r w:rsidR="001C761D">
        <w:rPr>
          <w:b/>
          <w:bCs/>
        </w:rPr>
        <w:t>corresponding to about</w:t>
      </w:r>
      <w:r w:rsidR="004D2295" w:rsidRPr="004D2295">
        <w:rPr>
          <w:b/>
          <w:bCs/>
        </w:rPr>
        <w:t xml:space="preserve"> 70 dB of minimum isolation between the base station antennas in Dense Urban scenario. Using the RAN4 assumptions of 30 dB isolation and 45 dB ACLR, the receiver performance degradation will be in the order of 40 </w:t>
      </w:r>
      <w:proofErr w:type="spellStart"/>
      <w:r w:rsidR="004D2295" w:rsidRPr="004D2295">
        <w:rPr>
          <w:b/>
          <w:bCs/>
        </w:rPr>
        <w:t>dB.</w:t>
      </w:r>
      <w:proofErr w:type="spellEnd"/>
    </w:p>
    <w:p w14:paraId="36E69DDD" w14:textId="739DBC65" w:rsidR="00453666" w:rsidRPr="00453666" w:rsidRDefault="00453666" w:rsidP="003B1FBB">
      <w:pPr>
        <w:rPr>
          <w:b/>
          <w:bCs/>
        </w:rPr>
      </w:pPr>
      <w:r>
        <w:rPr>
          <w:b/>
          <w:bCs/>
        </w:rPr>
        <w:t xml:space="preserve">Observation </w:t>
      </w:r>
      <w:r w:rsidR="005F0BFB">
        <w:rPr>
          <w:b/>
          <w:bCs/>
        </w:rPr>
        <w:t>2</w:t>
      </w:r>
      <w:r>
        <w:rPr>
          <w:b/>
          <w:bCs/>
        </w:rPr>
        <w:t xml:space="preserve">: Due to the </w:t>
      </w:r>
      <w:r w:rsidR="007457D0">
        <w:rPr>
          <w:b/>
          <w:bCs/>
        </w:rPr>
        <w:t xml:space="preserve">FR1 </w:t>
      </w:r>
      <w:proofErr w:type="spellStart"/>
      <w:r w:rsidR="007457D0">
        <w:rPr>
          <w:b/>
          <w:bCs/>
        </w:rPr>
        <w:t>gNB</w:t>
      </w:r>
      <w:proofErr w:type="spellEnd"/>
      <w:r w:rsidR="007457D0">
        <w:rPr>
          <w:b/>
          <w:bCs/>
        </w:rPr>
        <w:t xml:space="preserve"> </w:t>
      </w:r>
      <w:r w:rsidR="00AF6899">
        <w:rPr>
          <w:b/>
          <w:bCs/>
        </w:rPr>
        <w:t xml:space="preserve">unwanted emissions </w:t>
      </w:r>
      <w:r w:rsidR="007457D0">
        <w:rPr>
          <w:b/>
          <w:bCs/>
        </w:rPr>
        <w:t>spectrum shape, which is mostly flat across the adjacent channel</w:t>
      </w:r>
      <w:r w:rsidR="00E22321">
        <w:rPr>
          <w:b/>
          <w:bCs/>
        </w:rPr>
        <w:t xml:space="preserve">, </w:t>
      </w:r>
      <w:r w:rsidR="007653E7">
        <w:rPr>
          <w:b/>
          <w:bCs/>
        </w:rPr>
        <w:t xml:space="preserve">SBFD provides </w:t>
      </w:r>
      <w:r w:rsidR="00E22321">
        <w:rPr>
          <w:b/>
          <w:bCs/>
        </w:rPr>
        <w:t xml:space="preserve">little or no </w:t>
      </w:r>
      <w:r w:rsidR="00286253">
        <w:rPr>
          <w:b/>
          <w:bCs/>
        </w:rPr>
        <w:t xml:space="preserve">benefit </w:t>
      </w:r>
      <w:r w:rsidR="00694739">
        <w:rPr>
          <w:b/>
          <w:bCs/>
        </w:rPr>
        <w:t>in adjacent channel coexistence</w:t>
      </w:r>
      <w:r w:rsidR="007653E7">
        <w:rPr>
          <w:b/>
          <w:bCs/>
        </w:rPr>
        <w:t xml:space="preserve"> compared to dynamic TDD.</w:t>
      </w:r>
    </w:p>
    <w:p w14:paraId="3241B516" w14:textId="02196D20" w:rsidR="008D7B28" w:rsidRPr="000A34B2" w:rsidRDefault="008D7B28" w:rsidP="003B1FBB">
      <w:pPr>
        <w:rPr>
          <w:b/>
          <w:bCs/>
          <w:u w:val="single"/>
        </w:rPr>
      </w:pPr>
      <w:r w:rsidRPr="000A34B2">
        <w:rPr>
          <w:b/>
          <w:bCs/>
          <w:u w:val="single"/>
        </w:rPr>
        <w:t>Receiver adjacent channel selectivity</w:t>
      </w:r>
    </w:p>
    <w:p w14:paraId="5CB8C5E2" w14:textId="4FE78D17" w:rsidR="00E63F0D" w:rsidRDefault="007C60F0" w:rsidP="00E63F0D">
      <w:r>
        <w:t>Secondly,</w:t>
      </w:r>
      <w:r w:rsidR="008D7B28">
        <w:t xml:space="preserve"> receiver selectivity must be considered together with the </w:t>
      </w:r>
      <w:r w:rsidR="00741854">
        <w:t xml:space="preserve">transmitter unwanted emissions. From the receiver perspective in a dynamic TDD or flexible duplexing scenario, the adjacent channel contains strong </w:t>
      </w:r>
      <w:r w:rsidR="00E61951">
        <w:t>interference power, that need to be suppressed sufficiently to avoid receiver overload.</w:t>
      </w:r>
    </w:p>
    <w:p w14:paraId="3DF5236C" w14:textId="4B4164CD" w:rsidR="00E61951" w:rsidRDefault="000E4DC9" w:rsidP="00E63F0D">
      <w:r>
        <w:t xml:space="preserve">Using the above RAN4 assumptions and 64TRX victim in a Dense Urban scenario (44 dBm TRP aggressor </w:t>
      </w:r>
      <w:r w:rsidR="00416C50">
        <w:t xml:space="preserve">gNB transmit power), the </w:t>
      </w:r>
      <w:r w:rsidR="00496219">
        <w:t xml:space="preserve">adjacent channel interference </w:t>
      </w:r>
      <w:r w:rsidR="00416C50">
        <w:t xml:space="preserve">power per victim gNB receiver is </w:t>
      </w:r>
      <w:r w:rsidR="00496219">
        <w:t>-4 dBm</w:t>
      </w:r>
      <w:r w:rsidR="0032563B">
        <w:t>.</w:t>
      </w:r>
      <w:r w:rsidR="004D5E37">
        <w:t xml:space="preserve"> </w:t>
      </w:r>
      <w:r w:rsidR="009F6669">
        <w:t>Considering</w:t>
      </w:r>
      <w:r w:rsidR="00950D5E">
        <w:t xml:space="preserve"> the baseline 46 dB ACS</w:t>
      </w:r>
      <w:r w:rsidR="00473D12">
        <w:t xml:space="preserve"> </w:t>
      </w:r>
      <w:r w:rsidR="002F705F">
        <w:t xml:space="preserve">performance requirement, this leads to residual interference of </w:t>
      </w:r>
      <w:r w:rsidR="00B0066F">
        <w:t>-50 dBm</w:t>
      </w:r>
      <w:r w:rsidR="00C626A8">
        <w:t xml:space="preserve"> which is about 40 dB </w:t>
      </w:r>
      <w:r w:rsidR="00D464DE">
        <w:t xml:space="preserve">higher than the </w:t>
      </w:r>
      <w:r w:rsidR="00C90AC1">
        <w:t>thermal noise level.</w:t>
      </w:r>
      <w:r w:rsidR="00322FB1">
        <w:t xml:space="preserve"> Higher isolation and better ACS performance is clearly needed.</w:t>
      </w:r>
      <w:r w:rsidR="008C12CD">
        <w:t xml:space="preserve"> </w:t>
      </w:r>
    </w:p>
    <w:p w14:paraId="515CA177" w14:textId="5581BEBC" w:rsidR="008D7B28" w:rsidRDefault="00322FB1" w:rsidP="00E63F0D">
      <w:r>
        <w:t>Table 1 shows ACLR/ACS calculations</w:t>
      </w:r>
      <w:r w:rsidR="001A5C65">
        <w:t xml:space="preserve"> for the co-located Dense Urban scenario, with </w:t>
      </w:r>
      <w:r w:rsidR="00D832FF">
        <w:t xml:space="preserve">AAS macro and non-AAS (passive antenna) micro </w:t>
      </w:r>
      <w:r w:rsidR="00F262DA">
        <w:t>base stations.</w:t>
      </w:r>
      <w:r w:rsidR="5CC9996E">
        <w:t xml:space="preserve"> In the table </w:t>
      </w:r>
      <w:r w:rsidR="00CA5340">
        <w:t xml:space="preserve">the </w:t>
      </w:r>
      <w:r w:rsidR="5CC9996E">
        <w:t>Baseline-column uses RAN4 minimum requirements while Advanced and Ideal assume better performance. The feasibility of Advanced or Ideal performance has not been evaluated.</w:t>
      </w:r>
    </w:p>
    <w:p w14:paraId="4220FFE6" w14:textId="7828F033" w:rsidR="00122795" w:rsidRDefault="00122795" w:rsidP="00122795">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ACLR and ACS for Dense Urban scenario</w:t>
      </w:r>
      <w:r w:rsidR="008F021A">
        <w:t xml:space="preserve"> (co-located </w:t>
      </w:r>
      <w:proofErr w:type="spellStart"/>
      <w:r w:rsidR="008F021A">
        <w:t>gNBs</w:t>
      </w:r>
      <w:proofErr w:type="spellEnd"/>
      <w:r w:rsidR="008F021A">
        <w:t>)</w:t>
      </w:r>
      <w:r>
        <w:t>.</w:t>
      </w:r>
    </w:p>
    <w:p w14:paraId="39F1B8A7" w14:textId="4553E1B4" w:rsidR="00A30583" w:rsidRDefault="00A4516B" w:rsidP="00122795">
      <w:pPr>
        <w:jc w:val="center"/>
      </w:pPr>
      <w:r w:rsidRPr="00A4516B">
        <w:rPr>
          <w:noProof/>
        </w:rPr>
        <w:drawing>
          <wp:inline distT="0" distB="0" distL="0" distR="0" wp14:anchorId="3AC9C430" wp14:editId="172C1DC1">
            <wp:extent cx="6120765" cy="3408680"/>
            <wp:effectExtent l="0" t="0" r="0" b="127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408680"/>
                    </a:xfrm>
                    <a:prstGeom prst="rect">
                      <a:avLst/>
                    </a:prstGeom>
                    <a:noFill/>
                    <a:ln>
                      <a:noFill/>
                    </a:ln>
                  </pic:spPr>
                </pic:pic>
              </a:graphicData>
            </a:graphic>
          </wp:inline>
        </w:drawing>
      </w:r>
    </w:p>
    <w:p w14:paraId="0BFCDB0B" w14:textId="0C92B654" w:rsidR="000D2FD1" w:rsidRDefault="00321162" w:rsidP="002B609D">
      <w:r>
        <w:t xml:space="preserve">As RAN4 </w:t>
      </w:r>
      <w:r w:rsidR="00685938">
        <w:t xml:space="preserve">only </w:t>
      </w:r>
      <w:r>
        <w:t>assumes 30 dB antenna isolation</w:t>
      </w:r>
      <w:r w:rsidR="00685938">
        <w:t xml:space="preserve"> between co-located base stations, </w:t>
      </w:r>
      <w:r w:rsidR="003A67DF">
        <w:t xml:space="preserve">co-location </w:t>
      </w:r>
      <w:r w:rsidR="00133DD9">
        <w:t>using</w:t>
      </w:r>
      <w:r w:rsidR="006E6C02">
        <w:t xml:space="preserve"> </w:t>
      </w:r>
      <w:r w:rsidR="00F33908">
        <w:t xml:space="preserve">current minimum requirements </w:t>
      </w:r>
      <w:r w:rsidR="003A67DF">
        <w:t>is not</w:t>
      </w:r>
      <w:r w:rsidR="00CB1867">
        <w:t xml:space="preserve"> possible</w:t>
      </w:r>
      <w:r w:rsidR="003A67DF">
        <w:t xml:space="preserve"> either for </w:t>
      </w:r>
      <w:r w:rsidR="00271594">
        <w:t>dynamic TDD or flexible duplexing</w:t>
      </w:r>
      <w:r w:rsidR="0063620B">
        <w:t>, even for small base station classes.</w:t>
      </w:r>
      <w:r w:rsidR="00F33908">
        <w:t xml:space="preserve"> </w:t>
      </w:r>
      <w:r w:rsidR="009752AA">
        <w:t xml:space="preserve">Significantly higher isolation </w:t>
      </w:r>
      <w:r w:rsidR="00FF2FB7">
        <w:t xml:space="preserve">and/or transceiver performance is clearly needed. </w:t>
      </w:r>
      <w:r w:rsidR="00F33908">
        <w:t xml:space="preserve">Since co-location in a macro network is </w:t>
      </w:r>
      <w:r w:rsidR="00DA6AEF">
        <w:t>a typical assumption</w:t>
      </w:r>
      <w:r w:rsidR="00F33908">
        <w:t xml:space="preserve">, </w:t>
      </w:r>
      <w:r w:rsidR="005610BA">
        <w:t xml:space="preserve">these constraints should be carefully evaluated </w:t>
      </w:r>
      <w:r w:rsidR="00665865">
        <w:t xml:space="preserve">in RAN4 to ensure feasibility </w:t>
      </w:r>
      <w:r w:rsidR="000F75C3">
        <w:t>in actual deployments.</w:t>
      </w:r>
    </w:p>
    <w:p w14:paraId="5D276C4A" w14:textId="0DF08030" w:rsidR="002D37D5" w:rsidRPr="002D37D5" w:rsidRDefault="002D37D5" w:rsidP="002B609D">
      <w:pPr>
        <w:rPr>
          <w:b/>
          <w:bCs/>
        </w:rPr>
      </w:pPr>
      <w:r>
        <w:rPr>
          <w:b/>
          <w:bCs/>
        </w:rPr>
        <w:t xml:space="preserve">Observation </w:t>
      </w:r>
      <w:r w:rsidR="005F0BFB">
        <w:rPr>
          <w:b/>
          <w:bCs/>
        </w:rPr>
        <w:t>3</w:t>
      </w:r>
      <w:r>
        <w:rPr>
          <w:b/>
          <w:bCs/>
        </w:rPr>
        <w:t xml:space="preserve">: Existing minimum RAN4 </w:t>
      </w:r>
      <w:r w:rsidR="003F670D">
        <w:rPr>
          <w:b/>
          <w:bCs/>
        </w:rPr>
        <w:t xml:space="preserve">RF requirements and assumptions </w:t>
      </w:r>
      <w:r w:rsidR="00740C5E">
        <w:rPr>
          <w:b/>
          <w:bCs/>
        </w:rPr>
        <w:t>do not enable co-location of base stations</w:t>
      </w:r>
      <w:r w:rsidR="008E070F">
        <w:rPr>
          <w:b/>
          <w:bCs/>
        </w:rPr>
        <w:t xml:space="preserve"> using </w:t>
      </w:r>
      <w:r w:rsidR="000D13ED">
        <w:rPr>
          <w:b/>
          <w:bCs/>
        </w:rPr>
        <w:t>either dynamic TDD or SBFD.</w:t>
      </w:r>
    </w:p>
    <w:p w14:paraId="4F91D062" w14:textId="445EBF38" w:rsidR="000F77F1" w:rsidRPr="00DA7508" w:rsidRDefault="00DA7508" w:rsidP="002B609D">
      <w:pPr>
        <w:rPr>
          <w:b/>
          <w:bCs/>
        </w:rPr>
      </w:pPr>
      <w:r>
        <w:rPr>
          <w:b/>
          <w:bCs/>
        </w:rPr>
        <w:t xml:space="preserve">Proposal </w:t>
      </w:r>
      <w:r w:rsidR="005F0BFB">
        <w:rPr>
          <w:b/>
          <w:bCs/>
        </w:rPr>
        <w:t>1</w:t>
      </w:r>
      <w:r>
        <w:rPr>
          <w:b/>
          <w:bCs/>
        </w:rPr>
        <w:t xml:space="preserve">: Send LS to RAN4 for feedback on </w:t>
      </w:r>
      <w:r w:rsidR="00D92351">
        <w:rPr>
          <w:b/>
          <w:bCs/>
        </w:rPr>
        <w:t xml:space="preserve">achievable gNB-to-gNB isolation </w:t>
      </w:r>
      <w:r w:rsidR="005701D3">
        <w:rPr>
          <w:b/>
          <w:bCs/>
        </w:rPr>
        <w:t xml:space="preserve">and on </w:t>
      </w:r>
      <w:r w:rsidR="00691CBF">
        <w:rPr>
          <w:b/>
          <w:bCs/>
        </w:rPr>
        <w:t xml:space="preserve">adjacent channel </w:t>
      </w:r>
      <w:r w:rsidR="00660380">
        <w:rPr>
          <w:b/>
          <w:bCs/>
        </w:rPr>
        <w:t xml:space="preserve">RF </w:t>
      </w:r>
      <w:r w:rsidR="000B2F09">
        <w:rPr>
          <w:b/>
          <w:bCs/>
        </w:rPr>
        <w:t>performance</w:t>
      </w:r>
      <w:r w:rsidR="008E784C" w:rsidRPr="008E784C">
        <w:rPr>
          <w:b/>
          <w:bCs/>
        </w:rPr>
        <w:t xml:space="preserve"> </w:t>
      </w:r>
      <w:r w:rsidR="008E784C">
        <w:rPr>
          <w:b/>
          <w:bCs/>
        </w:rPr>
        <w:t>in co-located deployments.</w:t>
      </w:r>
    </w:p>
    <w:p w14:paraId="0D49558E" w14:textId="06D486E5" w:rsidR="000D2FD1" w:rsidRDefault="008E784C" w:rsidP="008E784C">
      <w:pPr>
        <w:pStyle w:val="Heading3"/>
      </w:pPr>
      <w:r>
        <w:t>Base station to base station interference (coexistence)</w:t>
      </w:r>
    </w:p>
    <w:p w14:paraId="4CCEF038" w14:textId="3DE4E5DA" w:rsidR="001803C1" w:rsidRDefault="008E784C" w:rsidP="002B609D">
      <w:r>
        <w:t xml:space="preserve">This section </w:t>
      </w:r>
      <w:r w:rsidR="004A4A4E">
        <w:t xml:space="preserve">considers the possibility of </w:t>
      </w:r>
      <w:r w:rsidR="002A0026">
        <w:t xml:space="preserve">adjacent channel </w:t>
      </w:r>
      <w:r w:rsidR="005F0EE3">
        <w:t>non-collocated deployments in the case that</w:t>
      </w:r>
      <w:r w:rsidR="00913C23">
        <w:t xml:space="preserve"> RAN4</w:t>
      </w:r>
      <w:r w:rsidR="00BA7D6B">
        <w:t xml:space="preserve"> </w:t>
      </w:r>
      <w:r w:rsidR="0018215D">
        <w:t>confirms that</w:t>
      </w:r>
      <w:r w:rsidR="005F0EE3">
        <w:t xml:space="preserve"> co-location of base stations proves difficult.</w:t>
      </w:r>
      <w:r w:rsidR="00BC7E67">
        <w:t xml:space="preserve"> Also, the coexistence scenario should be met regardless of co-location feasibility</w:t>
      </w:r>
      <w:r w:rsidR="00AE06D8">
        <w:t>.</w:t>
      </w:r>
    </w:p>
    <w:p w14:paraId="5889AE8E" w14:textId="7449F434" w:rsidR="0018215D" w:rsidRDefault="001C08B0" w:rsidP="002B609D">
      <w:r>
        <w:t>T</w:t>
      </w:r>
      <w:r w:rsidR="004A564D">
        <w:t xml:space="preserve">he </w:t>
      </w:r>
      <w:r w:rsidR="00304BDD">
        <w:t xml:space="preserve">total </w:t>
      </w:r>
      <w:proofErr w:type="spellStart"/>
      <w:r w:rsidR="00424A4F">
        <w:t>gNB</w:t>
      </w:r>
      <w:proofErr w:type="spellEnd"/>
      <w:r w:rsidR="00424A4F">
        <w:t>-to-</w:t>
      </w:r>
      <w:proofErr w:type="spellStart"/>
      <w:r w:rsidR="00424A4F">
        <w:t>gNB</w:t>
      </w:r>
      <w:proofErr w:type="spellEnd"/>
      <w:r w:rsidR="00424A4F">
        <w:t xml:space="preserve"> </w:t>
      </w:r>
      <w:r w:rsidR="00956A96">
        <w:t>isolation</w:t>
      </w:r>
      <w:r w:rsidR="004F6A12">
        <w:t xml:space="preserve"> </w:t>
      </w:r>
      <w:r w:rsidR="00BD3B94">
        <w:t xml:space="preserve">requirement </w:t>
      </w:r>
      <w:r w:rsidR="004F6A12">
        <w:t>would be the same</w:t>
      </w:r>
      <w:r w:rsidR="00257FA5">
        <w:t xml:space="preserve"> as </w:t>
      </w:r>
      <w:r w:rsidR="0073450F">
        <w:t>shown in Table 1</w:t>
      </w:r>
      <w:r w:rsidR="00726413">
        <w:t xml:space="preserve">. For example, </w:t>
      </w:r>
      <w:r w:rsidR="00586CA6">
        <w:t xml:space="preserve">in the ideal case where </w:t>
      </w:r>
      <w:r w:rsidR="00696B0A">
        <w:t xml:space="preserve">around 1 dB of receiver </w:t>
      </w:r>
      <w:proofErr w:type="spellStart"/>
      <w:r w:rsidR="00696B0A">
        <w:t>desense</w:t>
      </w:r>
      <w:proofErr w:type="spellEnd"/>
      <w:r w:rsidR="00696B0A">
        <w:t xml:space="preserve"> is accepted</w:t>
      </w:r>
      <w:r w:rsidR="00320275">
        <w:t xml:space="preserve"> and the RF performance </w:t>
      </w:r>
      <w:r w:rsidR="00231545">
        <w:t>assumption</w:t>
      </w:r>
      <w:r w:rsidR="00620946">
        <w:t xml:space="preserve">s are </w:t>
      </w:r>
      <w:r w:rsidR="0047259C">
        <w:t>improved over RAN4 specifications</w:t>
      </w:r>
      <w:r w:rsidR="00BA6D2C">
        <w:t xml:space="preserve">, </w:t>
      </w:r>
      <w:r w:rsidR="00FD50C0">
        <w:t xml:space="preserve">approximately 70 dB of isolation is </w:t>
      </w:r>
      <w:r w:rsidR="00073652">
        <w:t>required.</w:t>
      </w:r>
      <w:r w:rsidR="00BB465D">
        <w:t xml:space="preserve"> Note that in co-location, </w:t>
      </w:r>
      <w:r w:rsidR="00260CF4">
        <w:t>the antenna radiation patterns are typically not relevant as the coupling happens in the near field</w:t>
      </w:r>
      <w:r w:rsidR="008C2554">
        <w:t>, but in the coexistence</w:t>
      </w:r>
      <w:r w:rsidR="00BC2BFB">
        <w:t xml:space="preserve"> </w:t>
      </w:r>
      <w:r w:rsidR="008817DE">
        <w:t xml:space="preserve">scenario in which </w:t>
      </w:r>
      <w:r w:rsidR="005E39AD">
        <w:t>separation distances are larger, the antenna</w:t>
      </w:r>
      <w:r w:rsidR="000C7C9B">
        <w:t xml:space="preserve"> gain</w:t>
      </w:r>
      <w:r w:rsidR="009B4F87">
        <w:t>s of the transmitter and receiver</w:t>
      </w:r>
      <w:r w:rsidR="005E39AD">
        <w:t xml:space="preserve"> </w:t>
      </w:r>
      <w:r w:rsidR="00E4014E">
        <w:t xml:space="preserve">are included in the </w:t>
      </w:r>
      <w:r w:rsidR="000C7C9B">
        <w:t>isolation value</w:t>
      </w:r>
      <w:r w:rsidR="00E7496C">
        <w:t>.</w:t>
      </w:r>
    </w:p>
    <w:p w14:paraId="0D508A45" w14:textId="5F76E747" w:rsidR="00196B7E" w:rsidRDefault="00B50C40" w:rsidP="002B609D">
      <w:r>
        <w:t xml:space="preserve">Calculating the </w:t>
      </w:r>
      <w:r w:rsidR="00E328A3">
        <w:t xml:space="preserve">peak </w:t>
      </w:r>
      <w:r w:rsidR="00F553C2">
        <w:t xml:space="preserve">array </w:t>
      </w:r>
      <w:r w:rsidR="0058288D">
        <w:t xml:space="preserve">gain of </w:t>
      </w:r>
      <w:proofErr w:type="gramStart"/>
      <w:r w:rsidR="0058288D">
        <w:t>a</w:t>
      </w:r>
      <w:proofErr w:type="gramEnd"/>
      <w:r w:rsidR="0058288D">
        <w:t xml:space="preserve"> </w:t>
      </w:r>
      <w:r w:rsidR="00064486">
        <w:t>8x</w:t>
      </w:r>
      <w:r w:rsidR="00FA7BC2">
        <w:t>8</w:t>
      </w:r>
      <w:r w:rsidR="00064486">
        <w:t xml:space="preserve"> </w:t>
      </w:r>
      <w:r w:rsidR="00D60457">
        <w:t xml:space="preserve">element array with 8 </w:t>
      </w:r>
      <w:proofErr w:type="spellStart"/>
      <w:r w:rsidR="00D60457">
        <w:t>dBi</w:t>
      </w:r>
      <w:proofErr w:type="spellEnd"/>
      <w:r w:rsidR="00D60457">
        <w:t xml:space="preserve"> element gain</w:t>
      </w:r>
      <w:r w:rsidR="00F87DD7">
        <w:t xml:space="preserve"> can be in the order of </w:t>
      </w:r>
      <w:r w:rsidR="00A5220B">
        <w:t>2</w:t>
      </w:r>
      <w:r w:rsidR="00FB4610">
        <w:t>5</w:t>
      </w:r>
      <w:r w:rsidR="00A5220B">
        <w:t xml:space="preserve"> </w:t>
      </w:r>
      <w:proofErr w:type="spellStart"/>
      <w:r w:rsidR="00A5220B">
        <w:t>dBi</w:t>
      </w:r>
      <w:proofErr w:type="spellEnd"/>
      <w:r w:rsidR="00B371AE">
        <w:t xml:space="preserve"> </w:t>
      </w:r>
      <w:r w:rsidR="00FB4610">
        <w:t>when practical losses are assumed</w:t>
      </w:r>
      <w:r w:rsidR="007D4262">
        <w:t>.</w:t>
      </w:r>
      <w:r w:rsidR="00CA2113">
        <w:t xml:space="preserve"> F</w:t>
      </w:r>
      <w:r w:rsidR="00C26B89">
        <w:t xml:space="preserve">or </w:t>
      </w:r>
      <w:r w:rsidR="00BC6DA0">
        <w:t>two base stations</w:t>
      </w:r>
      <w:r w:rsidR="00342B6B">
        <w:t xml:space="preserve"> </w:t>
      </w:r>
      <w:r w:rsidR="00441071">
        <w:t>facing one</w:t>
      </w:r>
      <w:r w:rsidR="00342B6B">
        <w:t xml:space="preserve"> other</w:t>
      </w:r>
      <w:r w:rsidR="00CA2113">
        <w:t xml:space="preserve"> in line of sight</w:t>
      </w:r>
      <w:r w:rsidR="00E132A1">
        <w:t>, the</w:t>
      </w:r>
      <w:r w:rsidR="00CA2113">
        <w:t xml:space="preserve"> </w:t>
      </w:r>
      <w:proofErr w:type="gramStart"/>
      <w:r w:rsidR="00CA2113">
        <w:t>worst case</w:t>
      </w:r>
      <w:proofErr w:type="gramEnd"/>
      <w:r w:rsidR="00CA2113">
        <w:t xml:space="preserve"> </w:t>
      </w:r>
      <w:r w:rsidR="00A61DD9">
        <w:t xml:space="preserve">path loss </w:t>
      </w:r>
      <w:r w:rsidR="00347634">
        <w:t xml:space="preserve">therefore has to be </w:t>
      </w:r>
      <w:r w:rsidR="00404179">
        <w:t xml:space="preserve">greater than </w:t>
      </w:r>
      <w:r w:rsidR="00A55538">
        <w:t xml:space="preserve">70 dB + </w:t>
      </w:r>
      <w:r w:rsidR="00D3505C">
        <w:t>2</w:t>
      </w:r>
      <w:r w:rsidR="00D90A29">
        <w:t>5</w:t>
      </w:r>
      <w:r w:rsidR="00D3505C">
        <w:t> dB + 2</w:t>
      </w:r>
      <w:r w:rsidR="00D90A29">
        <w:t>5</w:t>
      </w:r>
      <w:r w:rsidR="00D3505C">
        <w:t xml:space="preserve"> dB = </w:t>
      </w:r>
      <w:r w:rsidR="00A62BC1">
        <w:t>12</w:t>
      </w:r>
      <w:r w:rsidR="00D90A29">
        <w:t>0</w:t>
      </w:r>
      <w:r w:rsidR="00A62BC1">
        <w:t xml:space="preserve"> dB, which </w:t>
      </w:r>
      <w:r w:rsidR="000A0DC0">
        <w:t xml:space="preserve">indicates </w:t>
      </w:r>
      <w:r w:rsidR="00AF41F5">
        <w:t>6</w:t>
      </w:r>
      <w:r w:rsidR="004C0CEB">
        <w:t xml:space="preserve"> km of separation in free space</w:t>
      </w:r>
      <w:r w:rsidR="002C3BE8">
        <w:t xml:space="preserve"> at 3.8 GHz</w:t>
      </w:r>
      <w:r w:rsidR="00731B8A">
        <w:t xml:space="preserve"> frequency</w:t>
      </w:r>
      <w:r w:rsidR="004C0CEB">
        <w:t>.</w:t>
      </w:r>
      <w:r w:rsidR="00E50017" w:rsidRPr="00E50017">
        <w:t xml:space="preserve"> </w:t>
      </w:r>
      <w:r w:rsidR="00232D2D">
        <w:t xml:space="preserve">With </w:t>
      </w:r>
      <w:proofErr w:type="spellStart"/>
      <w:r w:rsidR="00232D2D">
        <w:t>UMa</w:t>
      </w:r>
      <w:proofErr w:type="spellEnd"/>
      <w:r w:rsidR="00232D2D">
        <w:t xml:space="preserve"> </w:t>
      </w:r>
      <w:r w:rsidR="00210C4F">
        <w:t>LOS</w:t>
      </w:r>
      <w:r w:rsidR="006573E2">
        <w:t xml:space="preserve"> path loss model</w:t>
      </w:r>
      <w:r w:rsidR="00763137">
        <w:t xml:space="preserve">, the </w:t>
      </w:r>
      <w:r w:rsidR="00DE74D4">
        <w:t xml:space="preserve">separation </w:t>
      </w:r>
      <w:r w:rsidR="00AE353E">
        <w:t xml:space="preserve">distance is </w:t>
      </w:r>
      <w:r w:rsidR="008F4A2D">
        <w:t>4500</w:t>
      </w:r>
      <w:r w:rsidR="00DE74D4">
        <w:t xml:space="preserve"> meters, and with NLOS path loss </w:t>
      </w:r>
      <w:r w:rsidR="002A0FC5">
        <w:t>6</w:t>
      </w:r>
      <w:r w:rsidR="00E6671E">
        <w:t>1</w:t>
      </w:r>
      <w:r w:rsidR="002A0FC5">
        <w:t>0</w:t>
      </w:r>
      <w:r w:rsidR="00DE74D4">
        <w:t xml:space="preserve"> meters (</w:t>
      </w:r>
      <w:r w:rsidR="005B1F58">
        <w:t>using</w:t>
      </w:r>
      <w:r w:rsidR="00DE74D4">
        <w:t xml:space="preserve"> </w:t>
      </w:r>
      <w:proofErr w:type="spellStart"/>
      <w:r w:rsidR="00F32E99" w:rsidRPr="005B1F58">
        <w:rPr>
          <w:i/>
          <w:iCs/>
        </w:rPr>
        <w:t>h</w:t>
      </w:r>
      <w:r w:rsidR="00F32E99" w:rsidRPr="00F32E99">
        <w:rPr>
          <w:vertAlign w:val="subscript"/>
        </w:rPr>
        <w:t>BS</w:t>
      </w:r>
      <w:proofErr w:type="spellEnd"/>
      <w:r w:rsidR="00F32E99">
        <w:t xml:space="preserve"> = 25 m</w:t>
      </w:r>
      <w:r w:rsidR="005B1F58">
        <w:t xml:space="preserve"> at both </w:t>
      </w:r>
      <w:r w:rsidR="00794D71">
        <w:t>nodes</w:t>
      </w:r>
      <w:r w:rsidR="00F32E99">
        <w:t>)</w:t>
      </w:r>
      <w:r w:rsidR="00ED3FE4">
        <w:t xml:space="preserve">. </w:t>
      </w:r>
      <w:r w:rsidR="00022A52">
        <w:t>The</w:t>
      </w:r>
      <w:r w:rsidR="00CE7CA8">
        <w:t>se kind of</w:t>
      </w:r>
      <w:r w:rsidR="00022A52">
        <w:t xml:space="preserve"> separation distances seem </w:t>
      </w:r>
      <w:r w:rsidR="00ED3FE4">
        <w:t>impractical.</w:t>
      </w:r>
      <w:r w:rsidR="006264F4">
        <w:t xml:space="preserve"> </w:t>
      </w:r>
    </w:p>
    <w:p w14:paraId="52841D2E" w14:textId="5781926A" w:rsidR="004E3E66" w:rsidRDefault="004E3E66" w:rsidP="002B609D">
      <w:r>
        <w:t>On the other hand,</w:t>
      </w:r>
      <w:r w:rsidR="00807CA2">
        <w:t xml:space="preserve"> </w:t>
      </w:r>
      <w:r w:rsidR="003528B2">
        <w:t>it could be assumed that</w:t>
      </w:r>
      <w:r w:rsidR="004F2710">
        <w:t xml:space="preserve"> the</w:t>
      </w:r>
      <w:r w:rsidR="001B57A2">
        <w:t xml:space="preserve"> DL </w:t>
      </w:r>
      <w:proofErr w:type="gramStart"/>
      <w:r w:rsidR="001B57A2">
        <w:t>transmit</w:t>
      </w:r>
      <w:proofErr w:type="gramEnd"/>
      <w:r w:rsidR="001B57A2">
        <w:t xml:space="preserve"> and UL receive beams</w:t>
      </w:r>
      <w:r w:rsidR="00F57D1A">
        <w:t xml:space="preserve"> would not be usually pointing at </w:t>
      </w:r>
      <w:r w:rsidR="006864B0">
        <w:t>one another.</w:t>
      </w:r>
      <w:r>
        <w:t xml:space="preserve"> </w:t>
      </w:r>
      <w:r w:rsidR="006864B0">
        <w:t xml:space="preserve">In </w:t>
      </w:r>
      <w:r>
        <w:t>such</w:t>
      </w:r>
      <w:r w:rsidR="006864B0">
        <w:t xml:space="preserve"> cases, the</w:t>
      </w:r>
      <w:r>
        <w:t xml:space="preserve"> </w:t>
      </w:r>
      <w:r w:rsidR="006864B0">
        <w:t>sidelobe</w:t>
      </w:r>
      <w:r w:rsidR="0032741A">
        <w:t xml:space="preserve"> gain</w:t>
      </w:r>
      <w:r w:rsidR="00BE0D1F">
        <w:t xml:space="preserve"> </w:t>
      </w:r>
      <w:r w:rsidR="001D208E">
        <w:t>might be better applied</w:t>
      </w:r>
      <w:r w:rsidR="00887E55">
        <w:t>.</w:t>
      </w:r>
      <w:r w:rsidR="00334B66">
        <w:t xml:space="preserve"> </w:t>
      </w:r>
      <w:r w:rsidR="005E4D68">
        <w:t xml:space="preserve">The </w:t>
      </w:r>
      <w:proofErr w:type="spellStart"/>
      <w:r w:rsidR="002B13CB">
        <w:t>gNB</w:t>
      </w:r>
      <w:proofErr w:type="spellEnd"/>
      <w:r w:rsidR="002B13CB">
        <w:t xml:space="preserve"> antenna panels w</w:t>
      </w:r>
      <w:r w:rsidR="00873943">
        <w:t xml:space="preserve">ill typically </w:t>
      </w:r>
      <w:r w:rsidR="0062131D">
        <w:t xml:space="preserve">have some </w:t>
      </w:r>
      <w:proofErr w:type="spellStart"/>
      <w:r w:rsidR="0062131D">
        <w:t>downtilt</w:t>
      </w:r>
      <w:proofErr w:type="spellEnd"/>
      <w:r w:rsidR="0062131D">
        <w:t xml:space="preserve">, and if it is not expected that UEs above horizon are to be served, </w:t>
      </w:r>
      <w:r w:rsidR="0083564B">
        <w:t xml:space="preserve">directivity towards the other </w:t>
      </w:r>
      <w:r w:rsidR="007045B2">
        <w:t xml:space="preserve">macro </w:t>
      </w:r>
      <w:r w:rsidR="0083564B">
        <w:t xml:space="preserve">base stations </w:t>
      </w:r>
      <w:r w:rsidR="007045B2">
        <w:t>could be minimized.</w:t>
      </w:r>
      <w:r w:rsidR="00A508AC">
        <w:t xml:space="preserve"> Example </w:t>
      </w:r>
      <w:r w:rsidR="008313E7">
        <w:t xml:space="preserve">macro base station </w:t>
      </w:r>
      <w:r w:rsidR="00A508AC">
        <w:t>antenna radiation patterns as per TR 38.</w:t>
      </w:r>
      <w:r w:rsidR="00836E9B">
        <w:t xml:space="preserve">802 </w:t>
      </w:r>
      <w:r w:rsidR="00347FF2">
        <w:t xml:space="preserve">Table A.2.1-4 </w:t>
      </w:r>
      <w:r w:rsidR="00A508AC">
        <w:t>are shown in Figure</w:t>
      </w:r>
      <w:r w:rsidR="008313E7">
        <w:t> </w:t>
      </w:r>
      <w:r w:rsidR="00A508AC">
        <w:t>3</w:t>
      </w:r>
      <w:r w:rsidR="008313E7">
        <w:t>.</w:t>
      </w:r>
    </w:p>
    <w:p w14:paraId="42539CE3" w14:textId="77777777" w:rsidR="00C5777F" w:rsidRDefault="00AE7FDB" w:rsidP="00C5777F">
      <w:pPr>
        <w:keepNext/>
        <w:jc w:val="center"/>
      </w:pPr>
      <w:r>
        <w:rPr>
          <w:noProof/>
        </w:rPr>
        <w:lastRenderedPageBreak/>
        <w:drawing>
          <wp:inline distT="0" distB="0" distL="0" distR="0" wp14:anchorId="3C5104E1" wp14:editId="36CB280E">
            <wp:extent cx="2995684" cy="2796540"/>
            <wp:effectExtent l="0" t="0" r="0" b="3810"/>
            <wp:docPr id="1" name="Picture 1"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radar chart&#10;&#10;Description automatically generated"/>
                    <pic:cNvPicPr/>
                  </pic:nvPicPr>
                  <pic:blipFill rotWithShape="1">
                    <a:blip r:embed="rId16">
                      <a:extLst>
                        <a:ext uri="{28A0092B-C50C-407E-A947-70E740481C1C}">
                          <a14:useLocalDpi xmlns:a14="http://schemas.microsoft.com/office/drawing/2010/main" val="0"/>
                        </a:ext>
                      </a:extLst>
                    </a:blip>
                    <a:srcRect l="10612" r="9047"/>
                    <a:stretch/>
                  </pic:blipFill>
                  <pic:spPr bwMode="auto">
                    <a:xfrm>
                      <a:off x="0" y="0"/>
                      <a:ext cx="2996391" cy="27972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C32B3FE" wp14:editId="4B8FC62F">
            <wp:extent cx="2995295" cy="2800307"/>
            <wp:effectExtent l="0" t="0" r="0" b="635"/>
            <wp:docPr id="2" name="Picture 2"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radar chart&#10;&#10;Description automatically generated"/>
                    <pic:cNvPicPr/>
                  </pic:nvPicPr>
                  <pic:blipFill rotWithShape="1">
                    <a:blip r:embed="rId17">
                      <a:extLst>
                        <a:ext uri="{28A0092B-C50C-407E-A947-70E740481C1C}">
                          <a14:useLocalDpi xmlns:a14="http://schemas.microsoft.com/office/drawing/2010/main" val="0"/>
                        </a:ext>
                      </a:extLst>
                    </a:blip>
                    <a:srcRect l="10786" r="8966"/>
                    <a:stretch/>
                  </pic:blipFill>
                  <pic:spPr bwMode="auto">
                    <a:xfrm>
                      <a:off x="0" y="0"/>
                      <a:ext cx="2995822" cy="2800800"/>
                    </a:xfrm>
                    <a:prstGeom prst="rect">
                      <a:avLst/>
                    </a:prstGeom>
                    <a:ln>
                      <a:noFill/>
                    </a:ln>
                    <a:extLst>
                      <a:ext uri="{53640926-AAD7-44D8-BBD7-CCE9431645EC}">
                        <a14:shadowObscured xmlns:a14="http://schemas.microsoft.com/office/drawing/2010/main"/>
                      </a:ext>
                    </a:extLst>
                  </pic:spPr>
                </pic:pic>
              </a:graphicData>
            </a:graphic>
          </wp:inline>
        </w:drawing>
      </w:r>
    </w:p>
    <w:p w14:paraId="33776893" w14:textId="786D9D5E" w:rsidR="00AE7FDB" w:rsidRDefault="00C5777F" w:rsidP="00C5777F">
      <w:pPr>
        <w:pStyle w:val="Caption"/>
        <w:jc w:val="center"/>
      </w:pPr>
      <w:r>
        <w:t xml:space="preserve">Figure </w:t>
      </w:r>
      <w:r>
        <w:fldChar w:fldCharType="begin"/>
      </w:r>
      <w:r>
        <w:instrText xml:space="preserve"> SEQ Figure \* ARABIC </w:instrText>
      </w:r>
      <w:r>
        <w:fldChar w:fldCharType="separate"/>
      </w:r>
      <w:r w:rsidR="00D25A7F">
        <w:rPr>
          <w:noProof/>
        </w:rPr>
        <w:t>3</w:t>
      </w:r>
      <w:r>
        <w:fldChar w:fldCharType="end"/>
      </w:r>
      <w:r>
        <w:t xml:space="preserve">: </w:t>
      </w:r>
      <w:r w:rsidRPr="00F65F61">
        <w:t xml:space="preserve">Azimuth and Elevation for 4 GHz 8x8 array, 0.5λ horizontal and 0.8λ vertical spacing, 8 </w:t>
      </w:r>
      <w:proofErr w:type="spellStart"/>
      <w:r w:rsidRPr="00F65F61">
        <w:t>dBi</w:t>
      </w:r>
      <w:proofErr w:type="spellEnd"/>
      <w:r w:rsidRPr="00F65F61">
        <w:t xml:space="preserve"> element gain, simulated at 3.8 GHz carrier frequency. Azimuth Cut from the array horizontal axis; </w:t>
      </w:r>
      <w:proofErr w:type="spellStart"/>
      <w:r w:rsidRPr="00F65F61">
        <w:t>downtilt</w:t>
      </w:r>
      <w:proofErr w:type="spellEnd"/>
      <w:r w:rsidRPr="00F65F61">
        <w:t xml:space="preserve"> applied in Elevation Cut. Blue </w:t>
      </w:r>
      <w:r w:rsidR="006970AF">
        <w:t>curve</w:t>
      </w:r>
      <w:r w:rsidRPr="00F65F61">
        <w:t>: beam steered a</w:t>
      </w:r>
      <w:r w:rsidRPr="00C5777F">
        <w:t>t [0</w:t>
      </w:r>
      <w:bookmarkStart w:id="19" w:name="_Hlk101941216"/>
      <w:r w:rsidRPr="00C5777F">
        <w:t>°</w:t>
      </w:r>
      <w:bookmarkEnd w:id="19"/>
      <w:r w:rsidRPr="00C5777F">
        <w:t xml:space="preserve">, 0°]. Red </w:t>
      </w:r>
      <w:r w:rsidR="006970AF">
        <w:t>curve</w:t>
      </w:r>
      <w:r w:rsidRPr="00C5777F">
        <w:t>: beam steered at [-60°, 0°]</w:t>
      </w:r>
      <w:r>
        <w:t>.</w:t>
      </w:r>
    </w:p>
    <w:p w14:paraId="7A790EA8" w14:textId="51FCCBDE" w:rsidR="001E38AF" w:rsidRDefault="00072FAA" w:rsidP="002B609D">
      <w:r>
        <w:t xml:space="preserve">It can be observed that </w:t>
      </w:r>
      <w:r w:rsidR="00B2632F">
        <w:t xml:space="preserve">if the aggressor </w:t>
      </w:r>
      <w:proofErr w:type="spellStart"/>
      <w:r w:rsidR="00B2632F">
        <w:t>gNB</w:t>
      </w:r>
      <w:proofErr w:type="spellEnd"/>
      <w:r w:rsidR="00B2632F">
        <w:t xml:space="preserve"> beam azimuth is pointing towards the victim </w:t>
      </w:r>
      <w:proofErr w:type="spellStart"/>
      <w:r w:rsidR="00B2632F">
        <w:t>gNB</w:t>
      </w:r>
      <w:proofErr w:type="spellEnd"/>
      <w:r w:rsidR="002B015F">
        <w:t xml:space="preserve">, but there is sufficient </w:t>
      </w:r>
      <w:proofErr w:type="spellStart"/>
      <w:r w:rsidR="002B015F">
        <w:t>downtilt</w:t>
      </w:r>
      <w:proofErr w:type="spellEnd"/>
      <w:r w:rsidR="002B015F">
        <w:t xml:space="preserve"> so that the beamwidth does not cover the </w:t>
      </w:r>
      <w:r w:rsidR="0048288B">
        <w:t>horizon</w:t>
      </w:r>
      <w:r w:rsidR="00B2632F">
        <w:t xml:space="preserve">, </w:t>
      </w:r>
      <w:r w:rsidR="0048288B">
        <w:t>sidelobe suppression of about 13 dB or more could be expected</w:t>
      </w:r>
      <w:r w:rsidR="001150CE">
        <w:t xml:space="preserve"> (blue </w:t>
      </w:r>
      <w:r w:rsidR="006970AF">
        <w:t>curve</w:t>
      </w:r>
      <w:r w:rsidR="001150CE">
        <w:t xml:space="preserve">). Further, if the aggressor beam is steered away from the </w:t>
      </w:r>
      <w:r w:rsidR="003646A2">
        <w:t xml:space="preserve">victim </w:t>
      </w:r>
      <w:proofErr w:type="spellStart"/>
      <w:r w:rsidR="003646A2">
        <w:t>gNB</w:t>
      </w:r>
      <w:proofErr w:type="spellEnd"/>
      <w:r w:rsidR="003646A2">
        <w:t>, the resulting</w:t>
      </w:r>
      <w:r w:rsidR="00D1684D">
        <w:t xml:space="preserve"> directivity</w:t>
      </w:r>
      <w:r w:rsidR="003646A2">
        <w:t xml:space="preserve"> </w:t>
      </w:r>
      <w:r w:rsidR="00B72F90">
        <w:t xml:space="preserve">may be even </w:t>
      </w:r>
      <w:r w:rsidR="00D1684D">
        <w:t xml:space="preserve">in the </w:t>
      </w:r>
      <w:r w:rsidR="003B61B6">
        <w:t xml:space="preserve">order of 0 </w:t>
      </w:r>
      <w:proofErr w:type="spellStart"/>
      <w:r w:rsidR="003B61B6">
        <w:t>dBi</w:t>
      </w:r>
      <w:proofErr w:type="spellEnd"/>
      <w:r w:rsidR="003B61B6">
        <w:t xml:space="preserve"> or less.</w:t>
      </w:r>
      <w:r w:rsidR="00F00B80">
        <w:t xml:space="preserve"> Note that the nulls of the radiation pattern cannot be relied upon, as the wider the relative bandwidth (i.e. </w:t>
      </w:r>
      <w:r w:rsidR="00800BA2">
        <w:t xml:space="preserve">transmit bandwidth relative to carrier frequency), and the more mismatches there are in the phase shifters, the </w:t>
      </w:r>
      <w:r w:rsidR="00FA11D5">
        <w:t xml:space="preserve">shallower the nulls are. Hence an envelope of the sidelobes could be a </w:t>
      </w:r>
      <w:r w:rsidR="00253019">
        <w:t>better</w:t>
      </w:r>
      <w:r w:rsidR="00FA11D5">
        <w:t xml:space="preserve"> </w:t>
      </w:r>
      <w:r w:rsidR="00253019">
        <w:t>assumption.</w:t>
      </w:r>
    </w:p>
    <w:p w14:paraId="56DF0FCC" w14:textId="5EEDCB8B" w:rsidR="004E3E66" w:rsidRDefault="0087727E" w:rsidP="002B609D">
      <w:r>
        <w:t xml:space="preserve">Using </w:t>
      </w:r>
      <w:r w:rsidR="00345F75">
        <w:t xml:space="preserve">the above macro </w:t>
      </w:r>
      <w:proofErr w:type="spellStart"/>
      <w:r w:rsidR="00345F75">
        <w:t>gNB</w:t>
      </w:r>
      <w:proofErr w:type="spellEnd"/>
      <w:r w:rsidR="00345F75">
        <w:t xml:space="preserve"> panel configuration as an example, Table 2 shows calculations on the minimum separation distances with the </w:t>
      </w:r>
      <w:proofErr w:type="spellStart"/>
      <w:r w:rsidR="00345F75">
        <w:t>UMa</w:t>
      </w:r>
      <w:proofErr w:type="spellEnd"/>
      <w:r w:rsidR="00345F75">
        <w:t xml:space="preserve"> channel model. For micro </w:t>
      </w:r>
      <w:proofErr w:type="spellStart"/>
      <w:r w:rsidR="00345F75">
        <w:t>gNB</w:t>
      </w:r>
      <w:proofErr w:type="spellEnd"/>
      <w:r w:rsidR="00345F75">
        <w:t xml:space="preserve">, </w:t>
      </w:r>
      <w:r w:rsidR="00DF60C2">
        <w:t xml:space="preserve">the example uses </w:t>
      </w:r>
      <w:r w:rsidR="00345F75">
        <w:t>a</w:t>
      </w:r>
      <w:r w:rsidR="00695CE5">
        <w:t xml:space="preserve"> </w:t>
      </w:r>
      <w:r w:rsidR="00E06271">
        <w:t xml:space="preserve">4 TRX </w:t>
      </w:r>
      <w:r w:rsidR="00695CE5">
        <w:t>directional panel</w:t>
      </w:r>
      <w:r w:rsidR="00067425">
        <w:t xml:space="preserve"> of 2 elements per </w:t>
      </w:r>
      <w:r w:rsidR="00695CE5">
        <w:t>polarization</w:t>
      </w:r>
      <w:r w:rsidR="00D9648D">
        <w:t>, with 65</w:t>
      </w:r>
      <w:r w:rsidR="00D9648D" w:rsidRPr="00D9648D">
        <w:t>°</w:t>
      </w:r>
      <w:r w:rsidR="00DF60C2">
        <w:t xml:space="preserve"> horizontal and 35</w:t>
      </w:r>
      <w:r w:rsidR="00DF60C2" w:rsidRPr="00DF60C2">
        <w:t>°</w:t>
      </w:r>
      <w:r w:rsidR="00DF60C2">
        <w:t xml:space="preserve"> vertical 3 dB beamwidth.</w:t>
      </w:r>
      <w:r w:rsidR="00706585">
        <w:t xml:space="preserve"> 70 dB of </w:t>
      </w:r>
      <w:proofErr w:type="spellStart"/>
      <w:r w:rsidR="00706585">
        <w:t>gNB</w:t>
      </w:r>
      <w:proofErr w:type="spellEnd"/>
      <w:r w:rsidR="00706585">
        <w:t>-to-</w:t>
      </w:r>
      <w:proofErr w:type="spellStart"/>
      <w:r w:rsidR="00706585">
        <w:t>gNB</w:t>
      </w:r>
      <w:proofErr w:type="spellEnd"/>
      <w:r w:rsidR="00706585">
        <w:t xml:space="preserve"> isolation is assumed in all </w:t>
      </w:r>
      <w:r w:rsidR="00E660FE">
        <w:t xml:space="preserve">RF performance cases, which could be sufficient for a relatively low receiver </w:t>
      </w:r>
      <w:proofErr w:type="spellStart"/>
      <w:r w:rsidR="00E660FE">
        <w:t>desense</w:t>
      </w:r>
      <w:proofErr w:type="spellEnd"/>
      <w:r w:rsidR="00E660FE">
        <w:t>.</w:t>
      </w:r>
      <w:r w:rsidR="00706585">
        <w:t xml:space="preserve"> </w:t>
      </w:r>
    </w:p>
    <w:p w14:paraId="4D29F88D" w14:textId="3C2201A1" w:rsidR="00C65D35" w:rsidRDefault="00C65D35" w:rsidP="00C65D35">
      <w:pPr>
        <w:pStyle w:val="Caption"/>
        <w:keepNext/>
        <w:jc w:val="center"/>
      </w:pPr>
      <w:r>
        <w:lastRenderedPageBreak/>
        <w:t xml:space="preserve">Table </w:t>
      </w:r>
      <w:r>
        <w:fldChar w:fldCharType="begin"/>
      </w:r>
      <w:r>
        <w:instrText xml:space="preserve"> SEQ Table \* ARABIC </w:instrText>
      </w:r>
      <w:r>
        <w:fldChar w:fldCharType="separate"/>
      </w:r>
      <w:r w:rsidR="005F0BFB">
        <w:rPr>
          <w:noProof/>
        </w:rPr>
        <w:t>2</w:t>
      </w:r>
      <w:r>
        <w:fldChar w:fldCharType="end"/>
      </w:r>
      <w:r>
        <w:t>:</w:t>
      </w:r>
      <w:r w:rsidRPr="00E07CF9">
        <w:t xml:space="preserve"> </w:t>
      </w:r>
      <w:proofErr w:type="spellStart"/>
      <w:r>
        <w:t>gNB</w:t>
      </w:r>
      <w:proofErr w:type="spellEnd"/>
      <w:r>
        <w:t xml:space="preserve"> separation distances</w:t>
      </w:r>
      <w:r w:rsidRPr="00E07CF9">
        <w:t xml:space="preserve"> for Dense Urban scenario (</w:t>
      </w:r>
      <w:r>
        <w:t xml:space="preserve">adjacent channel </w:t>
      </w:r>
      <w:r w:rsidRPr="00E07CF9">
        <w:t>co</w:t>
      </w:r>
      <w:r>
        <w:t>existence</w:t>
      </w:r>
      <w:r w:rsidRPr="00E07CF9">
        <w:t>).</w:t>
      </w:r>
    </w:p>
    <w:p w14:paraId="03DEA609" w14:textId="6DDC211C" w:rsidR="00041F4D" w:rsidRDefault="00041F4D" w:rsidP="002B609D">
      <w:r w:rsidRPr="00041F4D">
        <w:rPr>
          <w:noProof/>
        </w:rPr>
        <w:drawing>
          <wp:inline distT="0" distB="0" distL="0" distR="0" wp14:anchorId="0FD4F62E" wp14:editId="76C93BA5">
            <wp:extent cx="6120765" cy="47974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4797425"/>
                    </a:xfrm>
                    <a:prstGeom prst="rect">
                      <a:avLst/>
                    </a:prstGeom>
                    <a:noFill/>
                    <a:ln>
                      <a:noFill/>
                    </a:ln>
                  </pic:spPr>
                </pic:pic>
              </a:graphicData>
            </a:graphic>
          </wp:inline>
        </w:drawing>
      </w:r>
    </w:p>
    <w:p w14:paraId="4730FCAA" w14:textId="5B5C8E16" w:rsidR="00041F4D" w:rsidRDefault="00E660FE" w:rsidP="002B609D">
      <w:r>
        <w:t xml:space="preserve">From Table </w:t>
      </w:r>
      <w:r w:rsidR="005F0BFB">
        <w:t>2</w:t>
      </w:r>
      <w:r>
        <w:t xml:space="preserve">, it can be observed that </w:t>
      </w:r>
      <w:r w:rsidR="00164F24">
        <w:t xml:space="preserve">careful antenna design is needed to minimize </w:t>
      </w:r>
      <w:r w:rsidR="001D303A">
        <w:t>unwanted emissions towards other base stations. I</w:t>
      </w:r>
      <w:r w:rsidR="00552BB7">
        <w:t xml:space="preserve">t is likely that passive antennas </w:t>
      </w:r>
      <w:r w:rsidR="004650A4">
        <w:t>will not have sufficient</w:t>
      </w:r>
      <w:r w:rsidR="00882296">
        <w:t xml:space="preserve"> spatial rejection to mitigate interference</w:t>
      </w:r>
      <w:r w:rsidR="00E214C2">
        <w:t xml:space="preserve">, and for dynamic TDD or SBFD to be feasible in the adjacent channel coexistence scenario, AAS are needed in all </w:t>
      </w:r>
      <w:proofErr w:type="spellStart"/>
      <w:r w:rsidR="00E214C2">
        <w:t>gNBs</w:t>
      </w:r>
      <w:proofErr w:type="spellEnd"/>
      <w:r w:rsidR="00F16185">
        <w:t xml:space="preserve">. Even then interference </w:t>
      </w:r>
      <w:r w:rsidR="00164810">
        <w:t>might occur.</w:t>
      </w:r>
    </w:p>
    <w:p w14:paraId="7AAA357B" w14:textId="42695EBC" w:rsidR="00164810" w:rsidRDefault="00164810" w:rsidP="002B609D">
      <w:r>
        <w:t xml:space="preserve">The micro </w:t>
      </w:r>
      <w:proofErr w:type="spellStart"/>
      <w:r>
        <w:t>gNB</w:t>
      </w:r>
      <w:r w:rsidR="00C54C15">
        <w:t>s</w:t>
      </w:r>
      <w:proofErr w:type="spellEnd"/>
      <w:r w:rsidR="00C54C15">
        <w:t xml:space="preserve"> </w:t>
      </w:r>
      <w:r>
        <w:t>with</w:t>
      </w:r>
      <w:r w:rsidR="00C54C15">
        <w:t xml:space="preserve">out significant beamforming capability, do not seem to reach </w:t>
      </w:r>
      <w:r w:rsidR="0087742A">
        <w:t xml:space="preserve">sufficient separation distances in the </w:t>
      </w:r>
      <w:r w:rsidR="00D84F53">
        <w:t>example calculation. With AAS</w:t>
      </w:r>
      <w:r w:rsidR="003A366C">
        <w:t xml:space="preserve"> and careful design, </w:t>
      </w:r>
      <w:r w:rsidR="001D5E37">
        <w:t>LOS deployments could become feasible.</w:t>
      </w:r>
    </w:p>
    <w:p w14:paraId="7F53DBFC" w14:textId="461D8DBB" w:rsidR="00063184" w:rsidRPr="001D5E37" w:rsidRDefault="001D5E37" w:rsidP="00355D0F">
      <w:pPr>
        <w:rPr>
          <w:b/>
          <w:bCs/>
        </w:rPr>
      </w:pPr>
      <w:r>
        <w:rPr>
          <w:b/>
          <w:bCs/>
        </w:rPr>
        <w:t xml:space="preserve">Observation </w:t>
      </w:r>
      <w:r w:rsidR="005F0BFB">
        <w:rPr>
          <w:b/>
          <w:bCs/>
        </w:rPr>
        <w:t>4</w:t>
      </w:r>
      <w:r>
        <w:rPr>
          <w:b/>
          <w:bCs/>
        </w:rPr>
        <w:t xml:space="preserve">: Passive antenna systems </w:t>
      </w:r>
      <w:r w:rsidR="002B37EA">
        <w:rPr>
          <w:b/>
          <w:bCs/>
        </w:rPr>
        <w:t xml:space="preserve">are not sufficient </w:t>
      </w:r>
      <w:r w:rsidR="003864E5">
        <w:rPr>
          <w:b/>
          <w:bCs/>
        </w:rPr>
        <w:t xml:space="preserve">for </w:t>
      </w:r>
      <w:r w:rsidR="00840AC1">
        <w:rPr>
          <w:b/>
          <w:bCs/>
        </w:rPr>
        <w:t xml:space="preserve">dynamic TDD or SBFD </w:t>
      </w:r>
      <w:r w:rsidR="003864E5">
        <w:rPr>
          <w:b/>
          <w:bCs/>
        </w:rPr>
        <w:t>adjacent channel coexistence</w:t>
      </w:r>
      <w:r w:rsidR="002B37EA">
        <w:rPr>
          <w:b/>
          <w:bCs/>
        </w:rPr>
        <w:t xml:space="preserve"> in a non-collocated deployment in Dense Urban scenario (outdoor macro and micro </w:t>
      </w:r>
      <w:proofErr w:type="spellStart"/>
      <w:r w:rsidR="002B37EA">
        <w:rPr>
          <w:b/>
          <w:bCs/>
        </w:rPr>
        <w:t>gNBs</w:t>
      </w:r>
      <w:proofErr w:type="spellEnd"/>
      <w:r w:rsidR="002B37EA">
        <w:rPr>
          <w:b/>
          <w:bCs/>
        </w:rPr>
        <w:t xml:space="preserve">). AAS is practically required at all outdoor </w:t>
      </w:r>
      <w:proofErr w:type="spellStart"/>
      <w:r w:rsidR="002B37EA">
        <w:rPr>
          <w:b/>
          <w:bCs/>
        </w:rPr>
        <w:t>gNBs</w:t>
      </w:r>
      <w:proofErr w:type="spellEnd"/>
      <w:r w:rsidR="00840AC1">
        <w:rPr>
          <w:b/>
          <w:bCs/>
        </w:rPr>
        <w:t>.</w:t>
      </w:r>
    </w:p>
    <w:p w14:paraId="71D610BE" w14:textId="1E4734A0" w:rsidR="008E784C" w:rsidRDefault="00D8427C" w:rsidP="002B609D">
      <w:r>
        <w:rPr>
          <w:b/>
          <w:bCs/>
        </w:rPr>
        <w:t xml:space="preserve">Proposal </w:t>
      </w:r>
      <w:r w:rsidR="005F0BFB">
        <w:rPr>
          <w:b/>
          <w:bCs/>
        </w:rPr>
        <w:t>2</w:t>
      </w:r>
      <w:r>
        <w:rPr>
          <w:b/>
          <w:bCs/>
        </w:rPr>
        <w:t xml:space="preserve">: Send LS to RAN4 </w:t>
      </w:r>
      <w:r w:rsidR="004E5092">
        <w:rPr>
          <w:b/>
          <w:bCs/>
        </w:rPr>
        <w:t xml:space="preserve">for feedback on </w:t>
      </w:r>
      <w:r w:rsidR="00377F51">
        <w:rPr>
          <w:b/>
          <w:bCs/>
        </w:rPr>
        <w:t>feasibility of</w:t>
      </w:r>
      <w:r w:rsidR="003C5A1E">
        <w:rPr>
          <w:b/>
          <w:bCs/>
        </w:rPr>
        <w:t xml:space="preserve"> adjacent channel coexistence in </w:t>
      </w:r>
      <w:r w:rsidR="003B0783">
        <w:rPr>
          <w:b/>
          <w:bCs/>
        </w:rPr>
        <w:t xml:space="preserve">outdoor </w:t>
      </w:r>
      <w:r w:rsidR="003C5A1E">
        <w:rPr>
          <w:b/>
          <w:bCs/>
        </w:rPr>
        <w:t>non-collocated deployments with AAS</w:t>
      </w:r>
      <w:r w:rsidR="004E5092">
        <w:rPr>
          <w:b/>
          <w:bCs/>
        </w:rPr>
        <w:t xml:space="preserve"> and non-AAS </w:t>
      </w:r>
      <w:proofErr w:type="spellStart"/>
      <w:r w:rsidR="004E5092">
        <w:rPr>
          <w:b/>
          <w:bCs/>
        </w:rPr>
        <w:t>gNBs</w:t>
      </w:r>
      <w:proofErr w:type="spellEnd"/>
      <w:r w:rsidR="004E5092">
        <w:rPr>
          <w:b/>
          <w:bCs/>
        </w:rPr>
        <w:t>.</w:t>
      </w:r>
    </w:p>
    <w:p w14:paraId="3E733534" w14:textId="215AED9E" w:rsidR="001803C1" w:rsidRDefault="001803C1" w:rsidP="001803C1">
      <w:pPr>
        <w:pStyle w:val="Heading3"/>
      </w:pPr>
      <w:r>
        <w:t>UE to UE interference</w:t>
      </w:r>
    </w:p>
    <w:p w14:paraId="499A7F57" w14:textId="62E4B84F" w:rsidR="001803C1" w:rsidRPr="001803C1" w:rsidRDefault="00D25A7F" w:rsidP="001803C1">
      <w:r>
        <w:t>The dynamic TDD studies evaluated UE-to-UE adjacent channel interference</w:t>
      </w:r>
      <w:r w:rsidR="005769F2">
        <w:t>, and no great issues were found. I</w:t>
      </w:r>
      <w:r w:rsidR="00DB1C44">
        <w:t>f two UEs would be indoor, with one connected to an outdoor macro cell, and the other to an indoor cell with a different TDD configuration, some interference could be observed.</w:t>
      </w:r>
    </w:p>
    <w:p w14:paraId="502B9A26" w14:textId="4F65E264" w:rsidR="00D25A7F" w:rsidRDefault="00A24BB2" w:rsidP="002B609D">
      <w:r>
        <w:t xml:space="preserve">In SBFD, the UE UL allocation during flexible slots could be moved away from the channel edge, e.g. to the </w:t>
      </w:r>
      <w:proofErr w:type="spellStart"/>
      <w:r>
        <w:t>center</w:t>
      </w:r>
      <w:proofErr w:type="spellEnd"/>
      <w:r>
        <w:t xml:space="preserve"> of the base station channel bandwidth, or to the opposite edge. Figure </w:t>
      </w:r>
      <w:r w:rsidR="005F0BFB">
        <w:t>4 shows simulated emissions for NR100 with full and 20 MHz PRB allocations in different positions.</w:t>
      </w:r>
    </w:p>
    <w:p w14:paraId="57D4238D" w14:textId="77777777" w:rsidR="00D25A7F" w:rsidRDefault="00D25A7F" w:rsidP="00D25A7F">
      <w:pPr>
        <w:keepNext/>
        <w:jc w:val="center"/>
      </w:pPr>
      <w:r>
        <w:rPr>
          <w:noProof/>
        </w:rPr>
        <w:lastRenderedPageBreak/>
        <w:drawing>
          <wp:inline distT="0" distB="0" distL="0" distR="0" wp14:anchorId="283506F1" wp14:editId="0E62CF54">
            <wp:extent cx="4166558" cy="3124919"/>
            <wp:effectExtent l="0" t="0" r="5715" b="0"/>
            <wp:docPr id="130" name="Picture 13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Char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4181988" cy="3136492"/>
                    </a:xfrm>
                    <a:prstGeom prst="rect">
                      <a:avLst/>
                    </a:prstGeom>
                  </pic:spPr>
                </pic:pic>
              </a:graphicData>
            </a:graphic>
          </wp:inline>
        </w:drawing>
      </w:r>
    </w:p>
    <w:p w14:paraId="441BF5C2" w14:textId="0B10494B" w:rsidR="00D25A7F" w:rsidRDefault="00D25A7F" w:rsidP="00D25A7F">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UE emissions spectrum for different sub-band allocations.</w:t>
      </w:r>
    </w:p>
    <w:p w14:paraId="467D6E91" w14:textId="1F1CE9B2" w:rsidR="00A27CBE" w:rsidRDefault="00A27CBE" w:rsidP="002B609D">
      <w:r>
        <w:t>As can be seen from Figure 4, the unwanted emissions on the adjacent channel are suppressed greatly when the UL PRB allocation is narrow, and when moved away from the channel edge. Center (inner) resource allocations are the best from adjacent channel unwanted emissions perspective.</w:t>
      </w:r>
    </w:p>
    <w:p w14:paraId="392B9E3E" w14:textId="4B1712D8" w:rsidR="00A27CBE" w:rsidRDefault="00A27CBE" w:rsidP="002B609D">
      <w:r>
        <w:t xml:space="preserve">The UE adjacent channel selectivity however does not </w:t>
      </w:r>
      <w:r w:rsidR="00A757F3">
        <w:t xml:space="preserve">really </w:t>
      </w:r>
      <w:r>
        <w:t xml:space="preserve">improve in SBFD, unless the UE can configure its </w:t>
      </w:r>
      <w:proofErr w:type="spellStart"/>
      <w:r>
        <w:t>analog</w:t>
      </w:r>
      <w:proofErr w:type="spellEnd"/>
      <w:r>
        <w:t xml:space="preserve"> and digital filters to its allocated DL sub-band. Since this would be highly implementation and capability dependent, it is proposed not to assume anything in system level evaluations, and adjacent channel selectivity as is should be used.</w:t>
      </w:r>
      <w:r w:rsidR="00B51BFC">
        <w:t xml:space="preserve"> This means that UE-to-UE ACIR </w:t>
      </w:r>
      <w:r w:rsidR="00505A2A">
        <w:t xml:space="preserve">in SBFD </w:t>
      </w:r>
      <w:r w:rsidR="00B51BFC">
        <w:t xml:space="preserve">would be </w:t>
      </w:r>
      <w:r w:rsidR="00505A2A">
        <w:t xml:space="preserve">dominated by ACS, </w:t>
      </w:r>
      <w:r w:rsidR="008A522B">
        <w:t xml:space="preserve">which would result in </w:t>
      </w:r>
      <w:r w:rsidR="006A5ABE">
        <w:t>only slightly improved ACIR over the assumptions used in dynamic TDD studies.</w:t>
      </w:r>
    </w:p>
    <w:p w14:paraId="0894EE5E" w14:textId="44FEB410" w:rsidR="00A27CBE" w:rsidRDefault="00A27CBE" w:rsidP="002B609D">
      <w:r>
        <w:t>However, the deployment scenarios in SBFD are likely easier from UE adjacent channel coexistence point of view, than in dynamic TDD.</w:t>
      </w:r>
      <w:r w:rsidR="00EF04C0">
        <w:t xml:space="preserve"> Still it may be difficult to rule out </w:t>
      </w:r>
      <w:r w:rsidR="009B09CD">
        <w:t xml:space="preserve">deployment or </w:t>
      </w:r>
      <w:r w:rsidR="00EF04C0">
        <w:t>device geometries</w:t>
      </w:r>
      <w:r w:rsidR="009B09CD">
        <w:t>,</w:t>
      </w:r>
      <w:r w:rsidR="00EF04C0">
        <w:t xml:space="preserve"> which </w:t>
      </w:r>
      <w:r w:rsidR="009B09CD">
        <w:t>might have coexistence problems.</w:t>
      </w:r>
    </w:p>
    <w:p w14:paraId="1EC993B7" w14:textId="7C526DEF" w:rsidR="005F0BFB" w:rsidRPr="00A27CBE" w:rsidRDefault="00A27CBE" w:rsidP="002B609D">
      <w:pPr>
        <w:rPr>
          <w:b/>
          <w:bCs/>
        </w:rPr>
      </w:pPr>
      <w:r w:rsidRPr="3B7A6533">
        <w:rPr>
          <w:b/>
          <w:bCs/>
        </w:rPr>
        <w:t xml:space="preserve">Observation 5: </w:t>
      </w:r>
      <w:r w:rsidR="006A5ABE">
        <w:rPr>
          <w:b/>
          <w:bCs/>
        </w:rPr>
        <w:t>Ad</w:t>
      </w:r>
      <w:r w:rsidR="00EF04C0">
        <w:rPr>
          <w:b/>
          <w:bCs/>
        </w:rPr>
        <w:t>j</w:t>
      </w:r>
      <w:r w:rsidR="006A5ABE">
        <w:rPr>
          <w:b/>
          <w:bCs/>
        </w:rPr>
        <w:t xml:space="preserve">acent channel UE-to-UE coexistence in SBFD is </w:t>
      </w:r>
      <w:r w:rsidR="00EF04C0">
        <w:rPr>
          <w:b/>
          <w:bCs/>
        </w:rPr>
        <w:t xml:space="preserve">better </w:t>
      </w:r>
      <w:r w:rsidR="006A5ABE">
        <w:rPr>
          <w:b/>
          <w:bCs/>
        </w:rPr>
        <w:t>than in dynamic TDD</w:t>
      </w:r>
      <w:r w:rsidR="00EF04C0">
        <w:rPr>
          <w:b/>
          <w:bCs/>
        </w:rPr>
        <w:t xml:space="preserve">. </w:t>
      </w:r>
    </w:p>
    <w:p w14:paraId="7F624058" w14:textId="35CFD8D0" w:rsidR="00590F0C" w:rsidRDefault="00590F0C" w:rsidP="00590F0C">
      <w:pPr>
        <w:pStyle w:val="Heading2"/>
      </w:pPr>
      <w:r>
        <w:t>Co-channel</w:t>
      </w:r>
    </w:p>
    <w:p w14:paraId="47DE0470" w14:textId="7A8AEC0D" w:rsidR="006272D8" w:rsidRDefault="006272D8" w:rsidP="006272D8">
      <w:pPr>
        <w:pStyle w:val="Heading3"/>
      </w:pPr>
      <w:r>
        <w:t>General</w:t>
      </w:r>
    </w:p>
    <w:p w14:paraId="047D38F8" w14:textId="00959027" w:rsidR="006272D8" w:rsidRPr="006272D8" w:rsidRDefault="006272D8" w:rsidP="006272D8">
      <w:r>
        <w:t>SBFD operation introduces various new RF interference scenarios that need to be addressed if the feature is going to be specified. This section discusses these aspects</w:t>
      </w:r>
      <w:r w:rsidR="009107D6">
        <w:t>.</w:t>
      </w:r>
    </w:p>
    <w:p w14:paraId="6D3A24FF" w14:textId="3AA37A7E" w:rsidR="0038213B" w:rsidRDefault="0038213B" w:rsidP="0038213B">
      <w:pPr>
        <w:pStyle w:val="Heading3"/>
      </w:pPr>
      <w:proofErr w:type="spellStart"/>
      <w:r>
        <w:t>gNB</w:t>
      </w:r>
      <w:proofErr w:type="spellEnd"/>
      <w:r>
        <w:t xml:space="preserve"> in-channel emissions</w:t>
      </w:r>
    </w:p>
    <w:p w14:paraId="6A7E6CDD" w14:textId="7419A1E2" w:rsidR="0038213B" w:rsidRPr="0038213B" w:rsidRDefault="0038213B" w:rsidP="0038213B">
      <w:r>
        <w:t>T</w:t>
      </w:r>
      <w:r w:rsidR="00E173EE">
        <w:t xml:space="preserve">he evaluation of </w:t>
      </w:r>
      <w:r w:rsidR="003375F4">
        <w:t xml:space="preserve">SBFD requires modelling of </w:t>
      </w:r>
      <w:proofErr w:type="spellStart"/>
      <w:r w:rsidR="003375F4">
        <w:t>gNB</w:t>
      </w:r>
      <w:proofErr w:type="spellEnd"/>
      <w:r w:rsidR="003375F4">
        <w:t xml:space="preserve"> emissions within the own channel, as part of the channel is allocated to </w:t>
      </w:r>
      <w:r w:rsidR="0032753E">
        <w:t>uplink transmissions.</w:t>
      </w:r>
    </w:p>
    <w:p w14:paraId="39DEAE13" w14:textId="77777777" w:rsidR="0011225F" w:rsidRDefault="00396D0E" w:rsidP="0038213B">
      <w:r>
        <w:t>As described in clause 2.1.2, the specification 38.104 contains requirements that apply outside of the channel bandwidth, namely ACLR and ACLR absolute basic limits (38.104 clause 6.6.3</w:t>
      </w:r>
      <w:r w:rsidR="00971174">
        <w:t>). In addition to the ACLR requirements, 38.104 specifies requirements on out-of-band emissions</w:t>
      </w:r>
      <w:r w:rsidR="00A17C36">
        <w:t xml:space="preserve"> within the operating band (38.104 clause 6.6.4).</w:t>
      </w:r>
    </w:p>
    <w:p w14:paraId="1FAA989F" w14:textId="2F358654" w:rsidR="00A145DE" w:rsidRDefault="00A145DE" w:rsidP="0038213B">
      <w:r>
        <w:t xml:space="preserve">There are no legacy requirements on emissions </w:t>
      </w:r>
      <w:r w:rsidR="009107D6">
        <w:t>within</w:t>
      </w:r>
      <w:r>
        <w:t xml:space="preserve"> the base station channel bandwidth.</w:t>
      </w:r>
      <w:r w:rsidR="0011225F">
        <w:t xml:space="preserve"> </w:t>
      </w:r>
      <w:r>
        <w:t xml:space="preserve">Figure </w:t>
      </w:r>
      <w:r w:rsidR="00A27CBE">
        <w:t>5</w:t>
      </w:r>
      <w:r>
        <w:t xml:space="preserve"> </w:t>
      </w:r>
      <w:r w:rsidR="0011225F">
        <w:t>illustrates one option how to define such emission model for SBFD system level evaluations.</w:t>
      </w:r>
    </w:p>
    <w:p w14:paraId="5CB2477B" w14:textId="57450081" w:rsidR="00A145DE" w:rsidRDefault="00F0552D" w:rsidP="00A145DE">
      <w:pPr>
        <w:keepNext/>
        <w:jc w:val="center"/>
      </w:pPr>
      <w:r>
        <w:rPr>
          <w:noProof/>
        </w:rPr>
        <w:lastRenderedPageBreak/>
        <w:drawing>
          <wp:inline distT="0" distB="0" distL="0" distR="0" wp14:anchorId="48CF8F68" wp14:editId="2FB3B391">
            <wp:extent cx="4917057" cy="2249284"/>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39484" cy="2259543"/>
                    </a:xfrm>
                    <a:prstGeom prst="rect">
                      <a:avLst/>
                    </a:prstGeom>
                    <a:noFill/>
                  </pic:spPr>
                </pic:pic>
              </a:graphicData>
            </a:graphic>
          </wp:inline>
        </w:drawing>
      </w:r>
    </w:p>
    <w:p w14:paraId="2285974B" w14:textId="187923AF" w:rsidR="0032753E" w:rsidRPr="0038213B" w:rsidRDefault="00A145DE" w:rsidP="00A145DE">
      <w:pPr>
        <w:pStyle w:val="Caption"/>
        <w:jc w:val="center"/>
      </w:pPr>
      <w:r>
        <w:t xml:space="preserve">Figure </w:t>
      </w:r>
      <w:r>
        <w:fldChar w:fldCharType="begin"/>
      </w:r>
      <w:r>
        <w:instrText xml:space="preserve"> SEQ Figure \* ARABIC </w:instrText>
      </w:r>
      <w:r>
        <w:fldChar w:fldCharType="separate"/>
      </w:r>
      <w:r w:rsidR="00D25A7F">
        <w:rPr>
          <w:noProof/>
        </w:rPr>
        <w:t>5</w:t>
      </w:r>
      <w:r>
        <w:fldChar w:fldCharType="end"/>
      </w:r>
      <w:r>
        <w:t xml:space="preserve">: </w:t>
      </w:r>
      <w:proofErr w:type="spellStart"/>
      <w:r>
        <w:t>gNB</w:t>
      </w:r>
      <w:proofErr w:type="spellEnd"/>
      <w:r>
        <w:t xml:space="preserve"> in-channel emission example.</w:t>
      </w:r>
    </w:p>
    <w:p w14:paraId="1DEF9AEE" w14:textId="65C2B64F" w:rsidR="0038213B" w:rsidRDefault="00D97186" w:rsidP="00590F0C">
      <w:r>
        <w:t xml:space="preserve">The unwanted emissions </w:t>
      </w:r>
      <w:r w:rsidR="005C5D24">
        <w:t xml:space="preserve">result mainly from non-linear power amplification, </w:t>
      </w:r>
      <w:r w:rsidR="006D18B5">
        <w:t xml:space="preserve">and </w:t>
      </w:r>
      <w:r w:rsidR="005C5D24">
        <w:t xml:space="preserve">digital pre-distortion </w:t>
      </w:r>
      <w:r w:rsidR="006D18B5">
        <w:t xml:space="preserve">(linearization) </w:t>
      </w:r>
      <w:r w:rsidR="005C5D24">
        <w:t xml:space="preserve">and </w:t>
      </w:r>
      <w:r w:rsidR="006D18B5">
        <w:t xml:space="preserve">crest factor reduction processes. </w:t>
      </w:r>
      <w:r w:rsidR="00A65968">
        <w:t xml:space="preserve">Quantization, thermal, and phase noise may also contribute. The </w:t>
      </w:r>
      <w:r w:rsidR="00CC4E51">
        <w:t xml:space="preserve">transmitter </w:t>
      </w:r>
      <w:r w:rsidR="00A65968">
        <w:t xml:space="preserve">digital baseband may include channel filters to </w:t>
      </w:r>
      <w:r w:rsidR="00CC4E51">
        <w:t>reduce the noise outside the channel bandwidth.</w:t>
      </w:r>
    </w:p>
    <w:p w14:paraId="101EB749" w14:textId="2D71C020" w:rsidR="00CC4E51" w:rsidRDefault="00CF4383" w:rsidP="00590F0C">
      <w:r>
        <w:t>When a part of the channel is allocated for uplink, it may be possible to estimate the downlink transmitter emissions</w:t>
      </w:r>
      <w:r w:rsidR="00803CE1">
        <w:t xml:space="preserve"> from ACLR and the emission masks that apply outside the channel. This may require additional sub-band filters in the </w:t>
      </w:r>
      <w:proofErr w:type="spellStart"/>
      <w:r w:rsidR="00803CE1">
        <w:t>gNB</w:t>
      </w:r>
      <w:proofErr w:type="spellEnd"/>
      <w:r w:rsidR="00803CE1">
        <w:t xml:space="preserve">, but such filters can be reasonably expected as the </w:t>
      </w:r>
      <w:proofErr w:type="spellStart"/>
      <w:r w:rsidR="00803CE1">
        <w:t>gNB</w:t>
      </w:r>
      <w:proofErr w:type="spellEnd"/>
      <w:r w:rsidR="00803CE1">
        <w:t xml:space="preserve"> transceiver architecture needs re-design anyway.</w:t>
      </w:r>
    </w:p>
    <w:p w14:paraId="7A7E9623" w14:textId="1669FF5A" w:rsidR="004E45DD" w:rsidRDefault="004E45DD" w:rsidP="00590F0C">
      <w:r>
        <w:t xml:space="preserve">Note that the absolute level of the unwanted emissions </w:t>
      </w:r>
      <w:proofErr w:type="gramStart"/>
      <w:r>
        <w:t>do</w:t>
      </w:r>
      <w:proofErr w:type="gramEnd"/>
      <w:r>
        <w:t xml:space="preserve"> not depend on the </w:t>
      </w:r>
      <w:r w:rsidR="00E80595">
        <w:t>number of transmitted DL PRBs.</w:t>
      </w:r>
      <w:r w:rsidR="009B5216">
        <w:t xml:space="preserve"> If part of the channel is not transmitted, the </w:t>
      </w:r>
      <w:r w:rsidR="00130BBB">
        <w:t xml:space="preserve">total transmit power is lower (assuming the power spectral density of the DL signal is maintained), but the </w:t>
      </w:r>
      <w:r w:rsidR="00A97713">
        <w:t xml:space="preserve">noise introduced in the </w:t>
      </w:r>
      <w:r w:rsidR="00130BBB">
        <w:t xml:space="preserve">linearization and crest factor reduction processes </w:t>
      </w:r>
      <w:r w:rsidR="00A97713">
        <w:t xml:space="preserve">will maintain the level of the unwanted emissions </w:t>
      </w:r>
      <w:r w:rsidR="007F5B97">
        <w:t>constant.</w:t>
      </w:r>
    </w:p>
    <w:p w14:paraId="76A26660" w14:textId="0E024087" w:rsidR="0011225F" w:rsidRPr="00EA194D" w:rsidRDefault="001759F4" w:rsidP="00590F0C">
      <w:pPr>
        <w:rPr>
          <w:b/>
          <w:bCs/>
        </w:rPr>
      </w:pPr>
      <w:r>
        <w:rPr>
          <w:b/>
          <w:bCs/>
        </w:rPr>
        <w:t>Proposal</w:t>
      </w:r>
      <w:r w:rsidR="00EA194D">
        <w:rPr>
          <w:b/>
          <w:bCs/>
        </w:rPr>
        <w:t xml:space="preserve"> </w:t>
      </w:r>
      <w:r w:rsidR="00A27CBE">
        <w:rPr>
          <w:b/>
          <w:bCs/>
        </w:rPr>
        <w:t>3</w:t>
      </w:r>
      <w:r w:rsidR="00EA194D">
        <w:rPr>
          <w:b/>
          <w:bCs/>
        </w:rPr>
        <w:t>: For SBFD</w:t>
      </w:r>
      <w:r w:rsidR="00FB51D5">
        <w:rPr>
          <w:b/>
          <w:bCs/>
        </w:rPr>
        <w:t xml:space="preserve"> system level evaluations</w:t>
      </w:r>
      <w:r w:rsidR="00EA194D">
        <w:rPr>
          <w:b/>
          <w:bCs/>
        </w:rPr>
        <w:t>,</w:t>
      </w:r>
      <w:r w:rsidR="00FB51D5">
        <w:rPr>
          <w:b/>
          <w:bCs/>
        </w:rPr>
        <w:t xml:space="preserve"> the</w:t>
      </w:r>
      <w:r w:rsidR="00EA194D">
        <w:rPr>
          <w:b/>
          <w:bCs/>
        </w:rPr>
        <w:t xml:space="preserve"> </w:t>
      </w:r>
      <w:proofErr w:type="spellStart"/>
      <w:r w:rsidR="00EA194D">
        <w:rPr>
          <w:b/>
          <w:bCs/>
        </w:rPr>
        <w:t>gNB</w:t>
      </w:r>
      <w:proofErr w:type="spellEnd"/>
      <w:r w:rsidR="00EA194D">
        <w:rPr>
          <w:b/>
          <w:bCs/>
        </w:rPr>
        <w:t xml:space="preserve"> emissions on the uplink </w:t>
      </w:r>
      <w:r w:rsidR="00FB51D5">
        <w:rPr>
          <w:b/>
          <w:bCs/>
        </w:rPr>
        <w:t xml:space="preserve">sub-band can assume the same performance as for adjacent channel, </w:t>
      </w:r>
      <w:proofErr w:type="gramStart"/>
      <w:r w:rsidR="00FB51D5">
        <w:rPr>
          <w:b/>
          <w:bCs/>
        </w:rPr>
        <w:t>i.e.</w:t>
      </w:r>
      <w:proofErr w:type="gramEnd"/>
      <w:r w:rsidR="00FB51D5">
        <w:rPr>
          <w:b/>
          <w:bCs/>
        </w:rPr>
        <w:t xml:space="preserve"> use ACLR as the starting point.</w:t>
      </w:r>
    </w:p>
    <w:p w14:paraId="0393979C" w14:textId="5C299CF9" w:rsidR="00D749EE" w:rsidRDefault="00834FDA" w:rsidP="00DA3CD0">
      <w:pPr>
        <w:pStyle w:val="Heading3"/>
      </w:pPr>
      <w:proofErr w:type="spellStart"/>
      <w:r>
        <w:t>Guardband</w:t>
      </w:r>
      <w:proofErr w:type="spellEnd"/>
      <w:r>
        <w:t xml:space="preserve"> </w:t>
      </w:r>
      <w:r w:rsidR="004A23AB">
        <w:t xml:space="preserve">between DL and UL </w:t>
      </w:r>
      <w:r w:rsidR="00711928">
        <w:t>allocations</w:t>
      </w:r>
    </w:p>
    <w:p w14:paraId="015F9BA2" w14:textId="3A75AF40" w:rsidR="004C0BD0" w:rsidRPr="00711928" w:rsidRDefault="004C0BD0" w:rsidP="00711928">
      <w:r>
        <w:t xml:space="preserve">The specification 38.104 </w:t>
      </w:r>
      <w:r w:rsidR="007F5667">
        <w:t xml:space="preserve">lists the following minimum </w:t>
      </w:r>
      <w:proofErr w:type="spellStart"/>
      <w:r w:rsidR="007F5667">
        <w:t>guardbands</w:t>
      </w:r>
      <w:proofErr w:type="spellEnd"/>
      <w:r w:rsidR="007F5667">
        <w:t xml:space="preserve"> </w:t>
      </w:r>
      <w:r w:rsidR="00B45F03">
        <w:t xml:space="preserve">from the </w:t>
      </w:r>
      <w:r w:rsidR="0034470F">
        <w:t xml:space="preserve">outermost </w:t>
      </w:r>
      <w:r w:rsidR="0083406A">
        <w:t>DL subcarrier to the channel edge:</w:t>
      </w:r>
    </w:p>
    <w:tbl>
      <w:tblPr>
        <w:tblStyle w:val="TableGrid"/>
        <w:tblW w:w="0" w:type="auto"/>
        <w:tblLook w:val="04A0" w:firstRow="1" w:lastRow="0" w:firstColumn="1" w:lastColumn="0" w:noHBand="0" w:noVBand="1"/>
      </w:tblPr>
      <w:tblGrid>
        <w:gridCol w:w="9629"/>
      </w:tblGrid>
      <w:tr w:rsidR="00B628EF" w14:paraId="10551CD8" w14:textId="77777777" w:rsidTr="00B628EF">
        <w:tc>
          <w:tcPr>
            <w:tcW w:w="9629" w:type="dxa"/>
          </w:tcPr>
          <w:p w14:paraId="546F97CC" w14:textId="77777777" w:rsidR="00B628EF" w:rsidRPr="00B628EF" w:rsidRDefault="00B628EF" w:rsidP="00B628EF">
            <w:pPr>
              <w:keepNext/>
              <w:keepLines/>
              <w:overflowPunct/>
              <w:autoSpaceDE/>
              <w:autoSpaceDN/>
              <w:adjustRightInd/>
              <w:spacing w:before="120"/>
              <w:textAlignment w:val="auto"/>
              <w:outlineLvl w:val="2"/>
              <w:rPr>
                <w:rFonts w:ascii="Arial" w:eastAsia="Yu Mincho" w:hAnsi="Arial"/>
                <w:sz w:val="28"/>
              </w:rPr>
            </w:pPr>
            <w:bookmarkStart w:id="20" w:name="_Toc13080139"/>
            <w:bookmarkStart w:id="21" w:name="_Toc29811635"/>
            <w:bookmarkStart w:id="22" w:name="_Toc36817187"/>
            <w:bookmarkStart w:id="23" w:name="_Toc37260103"/>
            <w:bookmarkStart w:id="24" w:name="_Toc37267491"/>
            <w:bookmarkStart w:id="25" w:name="_Toc44712093"/>
            <w:bookmarkStart w:id="26" w:name="_Toc45893406"/>
            <w:bookmarkStart w:id="27" w:name="_Toc53178133"/>
            <w:bookmarkStart w:id="28" w:name="_Toc53178584"/>
            <w:bookmarkStart w:id="29" w:name="_Toc61178810"/>
            <w:bookmarkStart w:id="30" w:name="_Toc61179280"/>
            <w:bookmarkStart w:id="31" w:name="_Toc67916576"/>
            <w:bookmarkStart w:id="32" w:name="_Toc74663174"/>
            <w:bookmarkStart w:id="33" w:name="_Toc82621714"/>
            <w:r w:rsidRPr="00B628EF">
              <w:rPr>
                <w:rFonts w:ascii="Arial" w:eastAsia="Yu Mincho" w:hAnsi="Arial"/>
                <w:sz w:val="28"/>
              </w:rPr>
              <w:t>5.3.3</w:t>
            </w:r>
            <w:r w:rsidRPr="00B628EF">
              <w:rPr>
                <w:rFonts w:ascii="Arial" w:eastAsia="Yu Mincho" w:hAnsi="Arial"/>
                <w:sz w:val="28"/>
              </w:rPr>
              <w:tab/>
              <w:t xml:space="preserve">Minimum </w:t>
            </w:r>
            <w:proofErr w:type="spellStart"/>
            <w:r w:rsidRPr="00B628EF">
              <w:rPr>
                <w:rFonts w:ascii="Arial" w:eastAsia="Yu Mincho" w:hAnsi="Arial"/>
                <w:sz w:val="28"/>
              </w:rPr>
              <w:t>guardband</w:t>
            </w:r>
            <w:proofErr w:type="spellEnd"/>
            <w:r w:rsidRPr="00B628EF">
              <w:rPr>
                <w:rFonts w:ascii="Arial" w:eastAsia="Yu Mincho" w:hAnsi="Arial"/>
                <w:sz w:val="28"/>
              </w:rPr>
              <w:t xml:space="preserve"> and </w:t>
            </w:r>
            <w:r w:rsidRPr="00B628EF">
              <w:rPr>
                <w:rFonts w:ascii="Arial" w:eastAsia="Yu Mincho" w:hAnsi="Arial"/>
                <w:i/>
                <w:sz w:val="28"/>
              </w:rPr>
              <w:t>transmission bandwidth configuration</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81F4141" w14:textId="77777777" w:rsidR="00B628EF" w:rsidRPr="00B628EF" w:rsidRDefault="00B628EF" w:rsidP="00B628EF">
            <w:pPr>
              <w:overflowPunct/>
              <w:autoSpaceDE/>
              <w:autoSpaceDN/>
              <w:adjustRightInd/>
              <w:textAlignment w:val="auto"/>
              <w:rPr>
                <w:rFonts w:eastAsia="Yu Mincho"/>
              </w:rPr>
            </w:pPr>
            <w:r w:rsidRPr="00B628EF">
              <w:rPr>
                <w:rFonts w:eastAsia="Yu Mincho"/>
              </w:rPr>
              <w:t xml:space="preserve">The minimum </w:t>
            </w:r>
            <w:proofErr w:type="spellStart"/>
            <w:r w:rsidRPr="00B628EF">
              <w:rPr>
                <w:rFonts w:eastAsia="Yu Mincho"/>
              </w:rPr>
              <w:t>guardband</w:t>
            </w:r>
            <w:proofErr w:type="spellEnd"/>
            <w:r w:rsidRPr="00B628EF">
              <w:rPr>
                <w:rFonts w:eastAsia="Yu Mincho"/>
              </w:rPr>
              <w:t xml:space="preserve"> for each </w:t>
            </w:r>
            <w:r w:rsidRPr="00B628EF">
              <w:rPr>
                <w:rFonts w:eastAsia="Yu Mincho"/>
                <w:i/>
              </w:rPr>
              <w:t>BS channel bandwidth</w:t>
            </w:r>
            <w:r w:rsidRPr="00B628EF">
              <w:rPr>
                <w:rFonts w:eastAsia="Yu Mincho"/>
              </w:rPr>
              <w:t xml:space="preserve"> and SCS is specified in table 5.3.3-1 for FR1 and in table 5.3.3-2 for FR2.</w:t>
            </w:r>
          </w:p>
          <w:p w14:paraId="421733C7" w14:textId="77777777" w:rsidR="00B628EF" w:rsidRPr="00B628EF" w:rsidRDefault="00B628EF" w:rsidP="00B628EF">
            <w:pPr>
              <w:keepNext/>
              <w:keepLines/>
              <w:overflowPunct/>
              <w:autoSpaceDE/>
              <w:autoSpaceDN/>
              <w:adjustRightInd/>
              <w:spacing w:before="60"/>
              <w:jc w:val="center"/>
              <w:textAlignment w:val="auto"/>
              <w:rPr>
                <w:rFonts w:ascii="Arial" w:eastAsia="Yu Mincho" w:hAnsi="Arial"/>
                <w:b/>
              </w:rPr>
            </w:pPr>
            <w:r w:rsidRPr="00B628EF">
              <w:rPr>
                <w:rFonts w:ascii="Arial" w:eastAsia="Yu Mincho" w:hAnsi="Arial"/>
                <w:b/>
              </w:rPr>
              <w:t xml:space="preserve">Table 5.3.3-1: Minimum </w:t>
            </w:r>
            <w:proofErr w:type="spellStart"/>
            <w:r w:rsidRPr="00B628EF">
              <w:rPr>
                <w:rFonts w:ascii="Arial" w:eastAsia="Yu Mincho" w:hAnsi="Arial"/>
                <w:b/>
              </w:rPr>
              <w:t>guardband</w:t>
            </w:r>
            <w:proofErr w:type="spellEnd"/>
            <w:r w:rsidRPr="00B628EF">
              <w:rPr>
                <w:rFonts w:ascii="Arial" w:eastAsia="Yu Mincho" w:hAnsi="Arial"/>
                <w:b/>
              </w:rPr>
              <w:t xml:space="preserve"> (kHz) (FR1)</w:t>
            </w:r>
          </w:p>
          <w:tbl>
            <w:tblPr>
              <w:tblStyle w:val="TableGrid"/>
              <w:tblW w:w="9618" w:type="dxa"/>
              <w:jc w:val="center"/>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tblGrid>
            <w:tr w:rsidR="00B628EF" w:rsidRPr="00B628EF" w14:paraId="3928309A" w14:textId="77777777" w:rsidTr="009016EB">
              <w:trPr>
                <w:cantSplit/>
                <w:jc w:val="center"/>
              </w:trPr>
              <w:tc>
                <w:tcPr>
                  <w:tcW w:w="687" w:type="dxa"/>
                </w:tcPr>
                <w:p w14:paraId="0F2A38FB"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8"/>
                    </w:rPr>
                  </w:pPr>
                  <w:r w:rsidRPr="00B628EF">
                    <w:rPr>
                      <w:rFonts w:ascii="Arial" w:eastAsia="Yu Mincho" w:hAnsi="Arial"/>
                      <w:b/>
                      <w:sz w:val="16"/>
                      <w:szCs w:val="16"/>
                    </w:rPr>
                    <w:t>SCS (kHz)</w:t>
                  </w:r>
                </w:p>
              </w:tc>
              <w:tc>
                <w:tcPr>
                  <w:tcW w:w="687" w:type="dxa"/>
                </w:tcPr>
                <w:p w14:paraId="61D8A6EF"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8"/>
                    </w:rPr>
                  </w:pPr>
                  <w:r w:rsidRPr="00B628EF">
                    <w:rPr>
                      <w:rFonts w:ascii="Arial" w:eastAsia="Yu Mincho" w:hAnsi="Arial"/>
                      <w:b/>
                      <w:sz w:val="16"/>
                      <w:szCs w:val="16"/>
                    </w:rPr>
                    <w:t>5</w:t>
                  </w:r>
                  <w:r w:rsidRPr="00B628EF">
                    <w:rPr>
                      <w:rFonts w:ascii="Arial" w:eastAsia="Yu Mincho" w:hAnsi="Arial"/>
                      <w:b/>
                      <w:sz w:val="16"/>
                      <w:szCs w:val="16"/>
                    </w:rPr>
                    <w:br/>
                    <w:t>MHz</w:t>
                  </w:r>
                </w:p>
              </w:tc>
              <w:tc>
                <w:tcPr>
                  <w:tcW w:w="687" w:type="dxa"/>
                </w:tcPr>
                <w:p w14:paraId="4F89100A"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8"/>
                    </w:rPr>
                  </w:pPr>
                  <w:r w:rsidRPr="00B628EF">
                    <w:rPr>
                      <w:rFonts w:ascii="Arial" w:eastAsia="Yu Mincho" w:hAnsi="Arial"/>
                      <w:b/>
                      <w:sz w:val="16"/>
                      <w:szCs w:val="16"/>
                    </w:rPr>
                    <w:t>10</w:t>
                  </w:r>
                  <w:r w:rsidRPr="00B628EF">
                    <w:rPr>
                      <w:rFonts w:ascii="Arial" w:eastAsia="Yu Mincho" w:hAnsi="Arial"/>
                      <w:b/>
                      <w:sz w:val="16"/>
                      <w:szCs w:val="16"/>
                    </w:rPr>
                    <w:br/>
                    <w:t>MHz</w:t>
                  </w:r>
                </w:p>
              </w:tc>
              <w:tc>
                <w:tcPr>
                  <w:tcW w:w="687" w:type="dxa"/>
                </w:tcPr>
                <w:p w14:paraId="58393B14"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6"/>
                      <w:szCs w:val="16"/>
                    </w:rPr>
                  </w:pPr>
                  <w:r w:rsidRPr="00B628EF">
                    <w:rPr>
                      <w:rFonts w:ascii="Arial" w:eastAsia="Yu Mincho" w:hAnsi="Arial"/>
                      <w:b/>
                      <w:sz w:val="16"/>
                      <w:szCs w:val="16"/>
                    </w:rPr>
                    <w:t>15</w:t>
                  </w:r>
                </w:p>
                <w:p w14:paraId="269C5A3D"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8"/>
                    </w:rPr>
                  </w:pPr>
                  <w:r w:rsidRPr="00B628EF">
                    <w:rPr>
                      <w:rFonts w:ascii="Arial" w:eastAsia="Yu Mincho" w:hAnsi="Arial"/>
                      <w:b/>
                      <w:sz w:val="16"/>
                      <w:szCs w:val="16"/>
                    </w:rPr>
                    <w:t>MHz</w:t>
                  </w:r>
                </w:p>
              </w:tc>
              <w:tc>
                <w:tcPr>
                  <w:tcW w:w="687" w:type="dxa"/>
                </w:tcPr>
                <w:p w14:paraId="573EA62F"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6"/>
                      <w:szCs w:val="16"/>
                    </w:rPr>
                  </w:pPr>
                  <w:r w:rsidRPr="00B628EF">
                    <w:rPr>
                      <w:rFonts w:ascii="Arial" w:eastAsia="Yu Mincho" w:hAnsi="Arial"/>
                      <w:b/>
                      <w:sz w:val="16"/>
                      <w:szCs w:val="16"/>
                    </w:rPr>
                    <w:t>20</w:t>
                  </w:r>
                </w:p>
                <w:p w14:paraId="197A329E"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8"/>
                    </w:rPr>
                  </w:pPr>
                  <w:r w:rsidRPr="00B628EF">
                    <w:rPr>
                      <w:rFonts w:ascii="Arial" w:eastAsia="Yu Mincho" w:hAnsi="Arial"/>
                      <w:b/>
                      <w:sz w:val="16"/>
                      <w:szCs w:val="16"/>
                    </w:rPr>
                    <w:t>MHz</w:t>
                  </w:r>
                </w:p>
              </w:tc>
              <w:tc>
                <w:tcPr>
                  <w:tcW w:w="687" w:type="dxa"/>
                </w:tcPr>
                <w:p w14:paraId="7FF48D32"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6"/>
                      <w:szCs w:val="16"/>
                    </w:rPr>
                  </w:pPr>
                  <w:r w:rsidRPr="00B628EF">
                    <w:rPr>
                      <w:rFonts w:ascii="Arial" w:eastAsia="Yu Mincho" w:hAnsi="Arial"/>
                      <w:b/>
                      <w:sz w:val="16"/>
                      <w:szCs w:val="16"/>
                    </w:rPr>
                    <w:t>25</w:t>
                  </w:r>
                </w:p>
                <w:p w14:paraId="63D9A109"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8"/>
                    </w:rPr>
                  </w:pPr>
                  <w:r w:rsidRPr="00B628EF">
                    <w:rPr>
                      <w:rFonts w:ascii="Arial" w:eastAsia="Yu Mincho" w:hAnsi="Arial"/>
                      <w:b/>
                      <w:sz w:val="16"/>
                      <w:szCs w:val="16"/>
                    </w:rPr>
                    <w:t>MHz</w:t>
                  </w:r>
                </w:p>
              </w:tc>
              <w:tc>
                <w:tcPr>
                  <w:tcW w:w="687" w:type="dxa"/>
                </w:tcPr>
                <w:p w14:paraId="2F03C970"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6"/>
                      <w:szCs w:val="16"/>
                    </w:rPr>
                  </w:pPr>
                  <w:r w:rsidRPr="00B628EF">
                    <w:rPr>
                      <w:rFonts w:ascii="Arial" w:eastAsia="Yu Mincho" w:hAnsi="Arial"/>
                      <w:b/>
                      <w:sz w:val="16"/>
                      <w:szCs w:val="16"/>
                    </w:rPr>
                    <w:t>30</w:t>
                  </w:r>
                </w:p>
                <w:p w14:paraId="3F538822"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8"/>
                    </w:rPr>
                  </w:pPr>
                  <w:r w:rsidRPr="00B628EF">
                    <w:rPr>
                      <w:rFonts w:ascii="Arial" w:eastAsia="Yu Mincho" w:hAnsi="Arial"/>
                      <w:b/>
                      <w:sz w:val="16"/>
                      <w:szCs w:val="16"/>
                    </w:rPr>
                    <w:t>MHz</w:t>
                  </w:r>
                </w:p>
              </w:tc>
              <w:tc>
                <w:tcPr>
                  <w:tcW w:w="687" w:type="dxa"/>
                </w:tcPr>
                <w:p w14:paraId="029A4DE8"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6"/>
                      <w:szCs w:val="16"/>
                    </w:rPr>
                  </w:pPr>
                  <w:r w:rsidRPr="00B628EF">
                    <w:rPr>
                      <w:rFonts w:ascii="Arial" w:eastAsia="Yu Mincho" w:hAnsi="Arial"/>
                      <w:b/>
                      <w:sz w:val="16"/>
                      <w:szCs w:val="16"/>
                    </w:rPr>
                    <w:t>40</w:t>
                  </w:r>
                </w:p>
                <w:p w14:paraId="74AB70AE"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8"/>
                    </w:rPr>
                  </w:pPr>
                  <w:r w:rsidRPr="00B628EF">
                    <w:rPr>
                      <w:rFonts w:ascii="Arial" w:eastAsia="Yu Mincho" w:hAnsi="Arial"/>
                      <w:b/>
                      <w:sz w:val="16"/>
                      <w:szCs w:val="16"/>
                    </w:rPr>
                    <w:t>MHz</w:t>
                  </w:r>
                </w:p>
              </w:tc>
              <w:tc>
                <w:tcPr>
                  <w:tcW w:w="687" w:type="dxa"/>
                </w:tcPr>
                <w:p w14:paraId="700EB447"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6"/>
                      <w:szCs w:val="16"/>
                    </w:rPr>
                  </w:pPr>
                  <w:r w:rsidRPr="00B628EF">
                    <w:rPr>
                      <w:rFonts w:ascii="Arial" w:eastAsia="Yu Mincho" w:hAnsi="Arial"/>
                      <w:b/>
                      <w:sz w:val="16"/>
                      <w:szCs w:val="16"/>
                    </w:rPr>
                    <w:t>50</w:t>
                  </w:r>
                </w:p>
                <w:p w14:paraId="7F26FC4E"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8"/>
                    </w:rPr>
                  </w:pPr>
                  <w:r w:rsidRPr="00B628EF">
                    <w:rPr>
                      <w:rFonts w:ascii="Arial" w:eastAsia="Yu Mincho" w:hAnsi="Arial"/>
                      <w:b/>
                      <w:sz w:val="16"/>
                      <w:szCs w:val="16"/>
                    </w:rPr>
                    <w:t>MHz</w:t>
                  </w:r>
                </w:p>
              </w:tc>
              <w:tc>
                <w:tcPr>
                  <w:tcW w:w="687" w:type="dxa"/>
                </w:tcPr>
                <w:p w14:paraId="15AA2790"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6"/>
                      <w:szCs w:val="16"/>
                    </w:rPr>
                  </w:pPr>
                  <w:r w:rsidRPr="00B628EF">
                    <w:rPr>
                      <w:rFonts w:ascii="Arial" w:eastAsia="Yu Mincho" w:hAnsi="Arial"/>
                      <w:b/>
                      <w:sz w:val="16"/>
                      <w:szCs w:val="16"/>
                    </w:rPr>
                    <w:t>60</w:t>
                  </w:r>
                </w:p>
                <w:p w14:paraId="3BBC7017"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8"/>
                    </w:rPr>
                  </w:pPr>
                  <w:r w:rsidRPr="00B628EF">
                    <w:rPr>
                      <w:rFonts w:ascii="Arial" w:eastAsia="Yu Mincho" w:hAnsi="Arial"/>
                      <w:b/>
                      <w:sz w:val="16"/>
                      <w:szCs w:val="16"/>
                    </w:rPr>
                    <w:t>MHz</w:t>
                  </w:r>
                </w:p>
              </w:tc>
              <w:tc>
                <w:tcPr>
                  <w:tcW w:w="687" w:type="dxa"/>
                </w:tcPr>
                <w:p w14:paraId="472505B6"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6"/>
                      <w:szCs w:val="16"/>
                    </w:rPr>
                  </w:pPr>
                  <w:r w:rsidRPr="00B628EF">
                    <w:rPr>
                      <w:rFonts w:ascii="Arial" w:eastAsia="Yu Mincho" w:hAnsi="Arial"/>
                      <w:b/>
                      <w:sz w:val="16"/>
                      <w:szCs w:val="16"/>
                    </w:rPr>
                    <w:t>70</w:t>
                  </w:r>
                </w:p>
                <w:p w14:paraId="7258EB69"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8"/>
                    </w:rPr>
                  </w:pPr>
                  <w:r w:rsidRPr="00B628EF">
                    <w:rPr>
                      <w:rFonts w:ascii="Arial" w:eastAsia="Yu Mincho" w:hAnsi="Arial"/>
                      <w:b/>
                      <w:sz w:val="16"/>
                      <w:szCs w:val="16"/>
                    </w:rPr>
                    <w:t>MHz</w:t>
                  </w:r>
                </w:p>
              </w:tc>
              <w:tc>
                <w:tcPr>
                  <w:tcW w:w="687" w:type="dxa"/>
                </w:tcPr>
                <w:p w14:paraId="584C023F"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6"/>
                      <w:szCs w:val="16"/>
                    </w:rPr>
                  </w:pPr>
                  <w:r w:rsidRPr="00B628EF">
                    <w:rPr>
                      <w:rFonts w:ascii="Arial" w:eastAsia="Yu Mincho" w:hAnsi="Arial"/>
                      <w:b/>
                      <w:sz w:val="16"/>
                      <w:szCs w:val="16"/>
                    </w:rPr>
                    <w:t>80</w:t>
                  </w:r>
                </w:p>
                <w:p w14:paraId="76FF0253"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8"/>
                    </w:rPr>
                  </w:pPr>
                  <w:r w:rsidRPr="00B628EF">
                    <w:rPr>
                      <w:rFonts w:ascii="Arial" w:eastAsia="Yu Mincho" w:hAnsi="Arial"/>
                      <w:b/>
                      <w:sz w:val="16"/>
                      <w:szCs w:val="16"/>
                    </w:rPr>
                    <w:t>MHz</w:t>
                  </w:r>
                </w:p>
              </w:tc>
              <w:tc>
                <w:tcPr>
                  <w:tcW w:w="687" w:type="dxa"/>
                </w:tcPr>
                <w:p w14:paraId="30092962"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6"/>
                      <w:szCs w:val="16"/>
                    </w:rPr>
                  </w:pPr>
                  <w:r w:rsidRPr="00B628EF">
                    <w:rPr>
                      <w:rFonts w:ascii="Arial" w:eastAsia="Yu Mincho" w:hAnsi="Arial"/>
                      <w:b/>
                      <w:sz w:val="16"/>
                      <w:szCs w:val="16"/>
                    </w:rPr>
                    <w:t>90</w:t>
                  </w:r>
                </w:p>
                <w:p w14:paraId="6A85588F"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8"/>
                    </w:rPr>
                  </w:pPr>
                  <w:r w:rsidRPr="00B628EF">
                    <w:rPr>
                      <w:rFonts w:ascii="Arial" w:eastAsia="Yu Mincho" w:hAnsi="Arial"/>
                      <w:b/>
                      <w:sz w:val="16"/>
                      <w:szCs w:val="16"/>
                    </w:rPr>
                    <w:t>MHz</w:t>
                  </w:r>
                </w:p>
              </w:tc>
              <w:tc>
                <w:tcPr>
                  <w:tcW w:w="687" w:type="dxa"/>
                </w:tcPr>
                <w:p w14:paraId="18A35C7D"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6"/>
                      <w:szCs w:val="16"/>
                    </w:rPr>
                  </w:pPr>
                  <w:r w:rsidRPr="00B628EF">
                    <w:rPr>
                      <w:rFonts w:ascii="Arial" w:eastAsia="Yu Mincho" w:hAnsi="Arial"/>
                      <w:b/>
                      <w:sz w:val="16"/>
                      <w:szCs w:val="16"/>
                    </w:rPr>
                    <w:t>100</w:t>
                  </w:r>
                </w:p>
                <w:p w14:paraId="4E1FE886"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b/>
                      <w:sz w:val="18"/>
                    </w:rPr>
                  </w:pPr>
                  <w:r w:rsidRPr="00B628EF">
                    <w:rPr>
                      <w:rFonts w:ascii="Arial" w:eastAsia="Yu Mincho" w:hAnsi="Arial"/>
                      <w:b/>
                      <w:sz w:val="16"/>
                      <w:szCs w:val="16"/>
                    </w:rPr>
                    <w:t>MHz</w:t>
                  </w:r>
                </w:p>
              </w:tc>
            </w:tr>
            <w:tr w:rsidR="00B628EF" w:rsidRPr="00B628EF" w14:paraId="7AA1877C" w14:textId="77777777" w:rsidTr="009016EB">
              <w:trPr>
                <w:cantSplit/>
                <w:jc w:val="center"/>
              </w:trPr>
              <w:tc>
                <w:tcPr>
                  <w:tcW w:w="687" w:type="dxa"/>
                </w:tcPr>
                <w:p w14:paraId="55DD4834"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Mincho" w:hAnsi="Arial"/>
                      <w:sz w:val="18"/>
                    </w:rPr>
                    <w:t>15</w:t>
                  </w:r>
                </w:p>
              </w:tc>
              <w:tc>
                <w:tcPr>
                  <w:tcW w:w="687" w:type="dxa"/>
                </w:tcPr>
                <w:p w14:paraId="2527DEF0"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Times New Roman" w:hAnsi="Arial"/>
                      <w:sz w:val="18"/>
                    </w:rPr>
                    <w:t>242.5</w:t>
                  </w:r>
                </w:p>
              </w:tc>
              <w:tc>
                <w:tcPr>
                  <w:tcW w:w="687" w:type="dxa"/>
                </w:tcPr>
                <w:p w14:paraId="05A0742F"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Times New Roman" w:hAnsi="Arial"/>
                      <w:sz w:val="18"/>
                    </w:rPr>
                    <w:t>312.5</w:t>
                  </w:r>
                </w:p>
              </w:tc>
              <w:tc>
                <w:tcPr>
                  <w:tcW w:w="687" w:type="dxa"/>
                </w:tcPr>
                <w:p w14:paraId="7795DE20"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Times New Roman" w:hAnsi="Arial"/>
                      <w:sz w:val="18"/>
                    </w:rPr>
                    <w:t>382.5</w:t>
                  </w:r>
                </w:p>
              </w:tc>
              <w:tc>
                <w:tcPr>
                  <w:tcW w:w="687" w:type="dxa"/>
                </w:tcPr>
                <w:p w14:paraId="4B777486"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Times New Roman" w:hAnsi="Arial"/>
                      <w:sz w:val="18"/>
                    </w:rPr>
                    <w:t>452.5</w:t>
                  </w:r>
                </w:p>
              </w:tc>
              <w:tc>
                <w:tcPr>
                  <w:tcW w:w="687" w:type="dxa"/>
                </w:tcPr>
                <w:p w14:paraId="40BE1F1B"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Times New Roman" w:hAnsi="Arial"/>
                      <w:sz w:val="18"/>
                    </w:rPr>
                    <w:t>522.5</w:t>
                  </w:r>
                </w:p>
              </w:tc>
              <w:tc>
                <w:tcPr>
                  <w:tcW w:w="687" w:type="dxa"/>
                </w:tcPr>
                <w:p w14:paraId="58BC3443"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Times New Roman" w:hAnsi="Arial"/>
                      <w:sz w:val="18"/>
                    </w:rPr>
                    <w:t>592.5</w:t>
                  </w:r>
                </w:p>
              </w:tc>
              <w:tc>
                <w:tcPr>
                  <w:tcW w:w="687" w:type="dxa"/>
                </w:tcPr>
                <w:p w14:paraId="472DC5EE"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Times New Roman" w:hAnsi="Arial"/>
                      <w:sz w:val="18"/>
                    </w:rPr>
                    <w:t>552.5</w:t>
                  </w:r>
                </w:p>
              </w:tc>
              <w:tc>
                <w:tcPr>
                  <w:tcW w:w="687" w:type="dxa"/>
                </w:tcPr>
                <w:p w14:paraId="420F2243"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Times New Roman" w:hAnsi="Arial"/>
                      <w:sz w:val="18"/>
                    </w:rPr>
                    <w:t>692.5</w:t>
                  </w:r>
                </w:p>
              </w:tc>
              <w:tc>
                <w:tcPr>
                  <w:tcW w:w="687" w:type="dxa"/>
                </w:tcPr>
                <w:p w14:paraId="59A24645"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Mincho" w:hAnsi="Arial"/>
                      <w:sz w:val="18"/>
                    </w:rPr>
                    <w:t>N/A</w:t>
                  </w:r>
                </w:p>
              </w:tc>
              <w:tc>
                <w:tcPr>
                  <w:tcW w:w="687" w:type="dxa"/>
                </w:tcPr>
                <w:p w14:paraId="416EAE6A"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Mincho" w:hAnsi="Arial"/>
                      <w:sz w:val="18"/>
                    </w:rPr>
                    <w:t>N/A</w:t>
                  </w:r>
                </w:p>
              </w:tc>
              <w:tc>
                <w:tcPr>
                  <w:tcW w:w="687" w:type="dxa"/>
                </w:tcPr>
                <w:p w14:paraId="4E26012F"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Mincho" w:hAnsi="Arial"/>
                      <w:sz w:val="18"/>
                    </w:rPr>
                    <w:t>N/A</w:t>
                  </w:r>
                </w:p>
              </w:tc>
              <w:tc>
                <w:tcPr>
                  <w:tcW w:w="687" w:type="dxa"/>
                </w:tcPr>
                <w:p w14:paraId="23083866"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Mincho" w:hAnsi="Arial"/>
                      <w:sz w:val="18"/>
                    </w:rPr>
                    <w:t>N/A</w:t>
                  </w:r>
                </w:p>
              </w:tc>
              <w:tc>
                <w:tcPr>
                  <w:tcW w:w="687" w:type="dxa"/>
                </w:tcPr>
                <w:p w14:paraId="0D68701C"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Mincho" w:hAnsi="Arial"/>
                      <w:sz w:val="18"/>
                    </w:rPr>
                    <w:t>N/A</w:t>
                  </w:r>
                </w:p>
              </w:tc>
            </w:tr>
            <w:tr w:rsidR="00B628EF" w:rsidRPr="00B628EF" w14:paraId="04A0D116" w14:textId="77777777" w:rsidTr="009016EB">
              <w:trPr>
                <w:cantSplit/>
                <w:jc w:val="center"/>
              </w:trPr>
              <w:tc>
                <w:tcPr>
                  <w:tcW w:w="687" w:type="dxa"/>
                </w:tcPr>
                <w:p w14:paraId="21D78B6C"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Mincho" w:hAnsi="Arial"/>
                      <w:sz w:val="18"/>
                    </w:rPr>
                    <w:t>30</w:t>
                  </w:r>
                </w:p>
              </w:tc>
              <w:tc>
                <w:tcPr>
                  <w:tcW w:w="687" w:type="dxa"/>
                </w:tcPr>
                <w:p w14:paraId="650C6CF3"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Gothic" w:hAnsi="Arial"/>
                      <w:sz w:val="18"/>
                    </w:rPr>
                    <w:t>505</w:t>
                  </w:r>
                </w:p>
              </w:tc>
              <w:tc>
                <w:tcPr>
                  <w:tcW w:w="687" w:type="dxa"/>
                </w:tcPr>
                <w:p w14:paraId="28BC8164"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Gothic" w:hAnsi="Arial"/>
                      <w:sz w:val="18"/>
                    </w:rPr>
                    <w:t>665</w:t>
                  </w:r>
                </w:p>
              </w:tc>
              <w:tc>
                <w:tcPr>
                  <w:tcW w:w="687" w:type="dxa"/>
                </w:tcPr>
                <w:p w14:paraId="62BCAE5F"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Gothic" w:hAnsi="Arial"/>
                      <w:sz w:val="18"/>
                    </w:rPr>
                    <w:t>645</w:t>
                  </w:r>
                </w:p>
              </w:tc>
              <w:tc>
                <w:tcPr>
                  <w:tcW w:w="687" w:type="dxa"/>
                </w:tcPr>
                <w:p w14:paraId="7B7A5291"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Gothic" w:hAnsi="Arial"/>
                      <w:sz w:val="18"/>
                    </w:rPr>
                    <w:t>805</w:t>
                  </w:r>
                </w:p>
              </w:tc>
              <w:tc>
                <w:tcPr>
                  <w:tcW w:w="687" w:type="dxa"/>
                </w:tcPr>
                <w:p w14:paraId="1EBE7FA3"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Gothic" w:hAnsi="Arial"/>
                      <w:sz w:val="18"/>
                    </w:rPr>
                    <w:t>785</w:t>
                  </w:r>
                </w:p>
              </w:tc>
              <w:tc>
                <w:tcPr>
                  <w:tcW w:w="687" w:type="dxa"/>
                </w:tcPr>
                <w:p w14:paraId="0D33468B"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Times New Roman" w:hAnsi="Arial"/>
                      <w:sz w:val="18"/>
                    </w:rPr>
                    <w:t>945</w:t>
                  </w:r>
                </w:p>
              </w:tc>
              <w:tc>
                <w:tcPr>
                  <w:tcW w:w="687" w:type="dxa"/>
                </w:tcPr>
                <w:p w14:paraId="0325EA10"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Gothic" w:hAnsi="Arial"/>
                      <w:sz w:val="18"/>
                    </w:rPr>
                    <w:t>905</w:t>
                  </w:r>
                </w:p>
              </w:tc>
              <w:tc>
                <w:tcPr>
                  <w:tcW w:w="687" w:type="dxa"/>
                </w:tcPr>
                <w:p w14:paraId="609117B1"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Gothic" w:hAnsi="Arial"/>
                      <w:sz w:val="18"/>
                    </w:rPr>
                    <w:t>1045</w:t>
                  </w:r>
                </w:p>
              </w:tc>
              <w:tc>
                <w:tcPr>
                  <w:tcW w:w="687" w:type="dxa"/>
                </w:tcPr>
                <w:p w14:paraId="3946BDC4"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Gothic" w:hAnsi="Arial"/>
                      <w:sz w:val="18"/>
                    </w:rPr>
                    <w:t>825</w:t>
                  </w:r>
                </w:p>
              </w:tc>
              <w:tc>
                <w:tcPr>
                  <w:tcW w:w="687" w:type="dxa"/>
                </w:tcPr>
                <w:p w14:paraId="69EAD839"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Times New Roman" w:hAnsi="Arial"/>
                      <w:sz w:val="18"/>
                    </w:rPr>
                    <w:t>965</w:t>
                  </w:r>
                </w:p>
              </w:tc>
              <w:tc>
                <w:tcPr>
                  <w:tcW w:w="687" w:type="dxa"/>
                </w:tcPr>
                <w:p w14:paraId="7176029B"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Gothic" w:hAnsi="Arial"/>
                      <w:sz w:val="18"/>
                    </w:rPr>
                    <w:t>925</w:t>
                  </w:r>
                </w:p>
              </w:tc>
              <w:tc>
                <w:tcPr>
                  <w:tcW w:w="687" w:type="dxa"/>
                </w:tcPr>
                <w:p w14:paraId="574EF6D5"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Times New Roman" w:hAnsi="Arial"/>
                      <w:sz w:val="18"/>
                    </w:rPr>
                    <w:t>885</w:t>
                  </w:r>
                </w:p>
              </w:tc>
              <w:tc>
                <w:tcPr>
                  <w:tcW w:w="687" w:type="dxa"/>
                </w:tcPr>
                <w:p w14:paraId="0B603368"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Gothic" w:hAnsi="Arial"/>
                      <w:sz w:val="18"/>
                    </w:rPr>
                    <w:t>845</w:t>
                  </w:r>
                </w:p>
              </w:tc>
            </w:tr>
            <w:tr w:rsidR="00B628EF" w:rsidRPr="00B628EF" w14:paraId="68A16633" w14:textId="77777777" w:rsidTr="009016EB">
              <w:trPr>
                <w:cantSplit/>
                <w:jc w:val="center"/>
              </w:trPr>
              <w:tc>
                <w:tcPr>
                  <w:tcW w:w="687" w:type="dxa"/>
                </w:tcPr>
                <w:p w14:paraId="2881E43A"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Mincho" w:hAnsi="Arial"/>
                      <w:sz w:val="18"/>
                    </w:rPr>
                    <w:t>60</w:t>
                  </w:r>
                </w:p>
              </w:tc>
              <w:tc>
                <w:tcPr>
                  <w:tcW w:w="687" w:type="dxa"/>
                </w:tcPr>
                <w:p w14:paraId="1A1D577E"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Mincho" w:hAnsi="Arial"/>
                      <w:sz w:val="18"/>
                    </w:rPr>
                    <w:t>N/A</w:t>
                  </w:r>
                </w:p>
              </w:tc>
              <w:tc>
                <w:tcPr>
                  <w:tcW w:w="687" w:type="dxa"/>
                </w:tcPr>
                <w:p w14:paraId="72B24F1E"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Gothic" w:hAnsi="Arial"/>
                      <w:sz w:val="18"/>
                    </w:rPr>
                    <w:t>1010</w:t>
                  </w:r>
                </w:p>
              </w:tc>
              <w:tc>
                <w:tcPr>
                  <w:tcW w:w="687" w:type="dxa"/>
                </w:tcPr>
                <w:p w14:paraId="3D9223A4"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Gothic" w:hAnsi="Arial"/>
                      <w:sz w:val="18"/>
                    </w:rPr>
                    <w:t>990</w:t>
                  </w:r>
                </w:p>
              </w:tc>
              <w:tc>
                <w:tcPr>
                  <w:tcW w:w="687" w:type="dxa"/>
                </w:tcPr>
                <w:p w14:paraId="2A6E1A3B"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Gothic" w:hAnsi="Arial"/>
                      <w:sz w:val="18"/>
                    </w:rPr>
                    <w:t>1330</w:t>
                  </w:r>
                </w:p>
              </w:tc>
              <w:tc>
                <w:tcPr>
                  <w:tcW w:w="687" w:type="dxa"/>
                </w:tcPr>
                <w:p w14:paraId="5CF10021"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Gothic" w:hAnsi="Arial"/>
                      <w:sz w:val="18"/>
                    </w:rPr>
                    <w:t>1310</w:t>
                  </w:r>
                </w:p>
              </w:tc>
              <w:tc>
                <w:tcPr>
                  <w:tcW w:w="687" w:type="dxa"/>
                </w:tcPr>
                <w:p w14:paraId="249EE2C2"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Times New Roman" w:hAnsi="Arial"/>
                      <w:sz w:val="18"/>
                    </w:rPr>
                    <w:t>1290</w:t>
                  </w:r>
                </w:p>
              </w:tc>
              <w:tc>
                <w:tcPr>
                  <w:tcW w:w="687" w:type="dxa"/>
                </w:tcPr>
                <w:p w14:paraId="7E6DEE1C"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Gothic" w:hAnsi="Arial"/>
                      <w:sz w:val="18"/>
                    </w:rPr>
                    <w:t>1610</w:t>
                  </w:r>
                </w:p>
              </w:tc>
              <w:tc>
                <w:tcPr>
                  <w:tcW w:w="687" w:type="dxa"/>
                </w:tcPr>
                <w:p w14:paraId="5A54ACDE"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Gothic" w:hAnsi="Arial"/>
                      <w:sz w:val="18"/>
                    </w:rPr>
                    <w:t>1570</w:t>
                  </w:r>
                </w:p>
              </w:tc>
              <w:tc>
                <w:tcPr>
                  <w:tcW w:w="687" w:type="dxa"/>
                </w:tcPr>
                <w:p w14:paraId="7D78B4DC"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Gothic" w:hAnsi="Arial"/>
                      <w:sz w:val="18"/>
                    </w:rPr>
                    <w:t>1530</w:t>
                  </w:r>
                </w:p>
              </w:tc>
              <w:tc>
                <w:tcPr>
                  <w:tcW w:w="687" w:type="dxa"/>
                </w:tcPr>
                <w:p w14:paraId="1ABF5190"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Times New Roman" w:hAnsi="Arial"/>
                      <w:sz w:val="18"/>
                    </w:rPr>
                    <w:t>1490</w:t>
                  </w:r>
                </w:p>
              </w:tc>
              <w:tc>
                <w:tcPr>
                  <w:tcW w:w="687" w:type="dxa"/>
                </w:tcPr>
                <w:p w14:paraId="38A8BBAF"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Gothic" w:hAnsi="Arial"/>
                      <w:sz w:val="18"/>
                    </w:rPr>
                    <w:t>1450</w:t>
                  </w:r>
                </w:p>
              </w:tc>
              <w:tc>
                <w:tcPr>
                  <w:tcW w:w="687" w:type="dxa"/>
                </w:tcPr>
                <w:p w14:paraId="3C34EF28"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Times New Roman" w:hAnsi="Arial"/>
                      <w:sz w:val="18"/>
                    </w:rPr>
                    <w:t>1410</w:t>
                  </w:r>
                </w:p>
              </w:tc>
              <w:tc>
                <w:tcPr>
                  <w:tcW w:w="687" w:type="dxa"/>
                </w:tcPr>
                <w:p w14:paraId="55C7AF6A" w14:textId="77777777" w:rsidR="00B628EF" w:rsidRPr="00B628EF" w:rsidRDefault="00B628EF" w:rsidP="00B628EF">
                  <w:pPr>
                    <w:keepNext/>
                    <w:keepLines/>
                    <w:overflowPunct/>
                    <w:autoSpaceDE/>
                    <w:autoSpaceDN/>
                    <w:adjustRightInd/>
                    <w:spacing w:after="0"/>
                    <w:jc w:val="center"/>
                    <w:textAlignment w:val="auto"/>
                    <w:rPr>
                      <w:rFonts w:ascii="Arial" w:eastAsia="Yu Mincho" w:hAnsi="Arial"/>
                      <w:sz w:val="18"/>
                    </w:rPr>
                  </w:pPr>
                  <w:r w:rsidRPr="00B628EF">
                    <w:rPr>
                      <w:rFonts w:ascii="Arial" w:eastAsia="Yu Gothic" w:hAnsi="Arial"/>
                      <w:sz w:val="18"/>
                    </w:rPr>
                    <w:t>1370</w:t>
                  </w:r>
                </w:p>
              </w:tc>
            </w:tr>
          </w:tbl>
          <w:p w14:paraId="5B380CEF" w14:textId="1DF5E6C0" w:rsidR="00B628EF" w:rsidRDefault="009B594F" w:rsidP="00590F0C">
            <w:r>
              <w:t xml:space="preserve"> </w:t>
            </w:r>
          </w:p>
        </w:tc>
      </w:tr>
    </w:tbl>
    <w:p w14:paraId="7ABFE775" w14:textId="77777777" w:rsidR="00D749EE" w:rsidRDefault="00D749EE" w:rsidP="00590F0C"/>
    <w:p w14:paraId="1E914F4F" w14:textId="2C1FFB3E" w:rsidR="0083406A" w:rsidRDefault="0050658D" w:rsidP="00590F0C">
      <w:r>
        <w:t xml:space="preserve">The same </w:t>
      </w:r>
      <w:proofErr w:type="spellStart"/>
      <w:r>
        <w:t>guardband</w:t>
      </w:r>
      <w:proofErr w:type="spellEnd"/>
      <w:r>
        <w:t xml:space="preserve"> </w:t>
      </w:r>
      <w:r w:rsidR="000931C3">
        <w:t xml:space="preserve">values </w:t>
      </w:r>
      <w:r w:rsidR="0051058B">
        <w:t xml:space="preserve">could be used as </w:t>
      </w:r>
      <w:r w:rsidR="00B174E1">
        <w:t xml:space="preserve">a best case </w:t>
      </w:r>
      <w:r w:rsidR="0085446F">
        <w:t>estimate between DL and UL allocations.</w:t>
      </w:r>
      <w:r w:rsidR="000931C3">
        <w:t xml:space="preserve"> </w:t>
      </w:r>
      <w:r w:rsidR="008F541C">
        <w:t xml:space="preserve">For out-of-band emissions, the </w:t>
      </w:r>
      <w:r w:rsidR="00DD50FA">
        <w:t xml:space="preserve">limits </w:t>
      </w:r>
      <w:r w:rsidR="00BB0F70">
        <w:t>may not be as strict as what is needed in FDU operation for in-channel</w:t>
      </w:r>
      <w:r w:rsidR="00241590">
        <w:t>, but nevertheless th</w:t>
      </w:r>
      <w:r w:rsidR="00253FEA">
        <w:t>ese may be used as a</w:t>
      </w:r>
      <w:r w:rsidR="009C2C8E">
        <w:t xml:space="preserve"> starting point. I</w:t>
      </w:r>
      <w:r>
        <w:t xml:space="preserve">n the case of NR100 for example, the minimum </w:t>
      </w:r>
      <w:proofErr w:type="spellStart"/>
      <w:r>
        <w:t>guardband</w:t>
      </w:r>
      <w:proofErr w:type="spellEnd"/>
      <w:r w:rsidR="009C2C8E">
        <w:t xml:space="preserve"> would be 845 kHz which equates to </w:t>
      </w:r>
      <w:r w:rsidR="005F1CFA">
        <w:t>3 PRBs</w:t>
      </w:r>
      <w:r w:rsidR="00262323">
        <w:t xml:space="preserve"> at 30 kHz subcarrier spacing.</w:t>
      </w:r>
    </w:p>
    <w:p w14:paraId="19499761" w14:textId="5FAEEB66" w:rsidR="005D61E1" w:rsidRDefault="005D61E1" w:rsidP="00590F0C">
      <w:r>
        <w:t xml:space="preserve">It should be noted, that </w:t>
      </w:r>
      <w:r w:rsidR="003D0EC2">
        <w:t>the</w:t>
      </w:r>
      <w:r w:rsidR="0026244E">
        <w:t xml:space="preserve"> specified minimum </w:t>
      </w:r>
      <w:proofErr w:type="spellStart"/>
      <w:r w:rsidR="0026244E">
        <w:t>guardband</w:t>
      </w:r>
      <w:proofErr w:type="spellEnd"/>
      <w:r w:rsidR="0026244E">
        <w:t xml:space="preserve"> assumes some form of digital filtering to suppress the </w:t>
      </w:r>
      <w:r w:rsidR="00F35703">
        <w:t xml:space="preserve">OFDM </w:t>
      </w:r>
      <w:r w:rsidR="0026244E">
        <w:t>modulation</w:t>
      </w:r>
      <w:r w:rsidR="00612E6A">
        <w:t xml:space="preserve"> </w:t>
      </w:r>
      <w:r w:rsidR="00F35703">
        <w:t xml:space="preserve">noise </w:t>
      </w:r>
      <w:r w:rsidR="00D10573">
        <w:t>outside the gNB channel bandwidth. For FDU operation, similar filtering will need to be implemented to suppress the modulation noise within the UL allocation of the band.</w:t>
      </w:r>
    </w:p>
    <w:p w14:paraId="5F08DCBD" w14:textId="43276DB6" w:rsidR="00C90A3B" w:rsidRPr="00C90A3B" w:rsidRDefault="00C90A3B" w:rsidP="00590F0C">
      <w:pPr>
        <w:rPr>
          <w:b/>
          <w:bCs/>
        </w:rPr>
      </w:pPr>
      <w:r>
        <w:rPr>
          <w:b/>
          <w:bCs/>
        </w:rPr>
        <w:lastRenderedPageBreak/>
        <w:t xml:space="preserve">Proposal </w:t>
      </w:r>
      <w:r w:rsidR="00A27CBE">
        <w:rPr>
          <w:b/>
          <w:bCs/>
        </w:rPr>
        <w:t>4</w:t>
      </w:r>
      <w:r>
        <w:rPr>
          <w:b/>
          <w:bCs/>
        </w:rPr>
        <w:t xml:space="preserve">: Use the </w:t>
      </w:r>
      <w:r w:rsidR="0043705B">
        <w:rPr>
          <w:b/>
          <w:bCs/>
        </w:rPr>
        <w:t xml:space="preserve">minimum </w:t>
      </w:r>
      <w:proofErr w:type="spellStart"/>
      <w:r w:rsidR="0043705B">
        <w:rPr>
          <w:b/>
          <w:bCs/>
        </w:rPr>
        <w:t>guardband</w:t>
      </w:r>
      <w:proofErr w:type="spellEnd"/>
      <w:r w:rsidR="00A51EBF">
        <w:rPr>
          <w:b/>
          <w:bCs/>
        </w:rPr>
        <w:t xml:space="preserve"> values </w:t>
      </w:r>
      <w:r w:rsidR="00A84C67">
        <w:rPr>
          <w:b/>
          <w:bCs/>
        </w:rPr>
        <w:t xml:space="preserve">from 3GPP TS 38.104 clause 5.3.3 </w:t>
      </w:r>
      <w:r w:rsidR="00F510FC">
        <w:rPr>
          <w:b/>
          <w:bCs/>
        </w:rPr>
        <w:t xml:space="preserve">between </w:t>
      </w:r>
      <w:r w:rsidR="00E24850">
        <w:rPr>
          <w:b/>
          <w:bCs/>
        </w:rPr>
        <w:t>SBFD</w:t>
      </w:r>
      <w:r w:rsidR="00F510FC">
        <w:rPr>
          <w:b/>
          <w:bCs/>
        </w:rPr>
        <w:t xml:space="preserve"> DL and UL allocations</w:t>
      </w:r>
      <w:r w:rsidR="00FD36DC">
        <w:rPr>
          <w:b/>
          <w:bCs/>
        </w:rPr>
        <w:t xml:space="preserve"> </w:t>
      </w:r>
      <w:r w:rsidR="00C111E9">
        <w:rPr>
          <w:b/>
          <w:bCs/>
        </w:rPr>
        <w:t>as a starting point</w:t>
      </w:r>
      <w:r w:rsidR="00FD36DC">
        <w:rPr>
          <w:b/>
          <w:bCs/>
        </w:rPr>
        <w:t xml:space="preserve"> in system level evaluations.</w:t>
      </w:r>
    </w:p>
    <w:p w14:paraId="33E67D50" w14:textId="6310CC2E" w:rsidR="00CA5340" w:rsidRDefault="00CA5340" w:rsidP="00CA5340">
      <w:pPr>
        <w:pStyle w:val="Heading3"/>
      </w:pPr>
      <w:proofErr w:type="spellStart"/>
      <w:r>
        <w:t>gNB</w:t>
      </w:r>
      <w:proofErr w:type="spellEnd"/>
      <w:r>
        <w:t xml:space="preserve"> in-channel selectivity</w:t>
      </w:r>
    </w:p>
    <w:p w14:paraId="45D79C28" w14:textId="07211F8A" w:rsidR="00CA5340" w:rsidRDefault="007C736E" w:rsidP="00CA5340">
      <w:r>
        <w:t xml:space="preserve">The specification 38.104 </w:t>
      </w:r>
      <w:r w:rsidR="00413C4B">
        <w:t xml:space="preserve">clause 7.8 </w:t>
      </w:r>
      <w:r>
        <w:t xml:space="preserve">includes </w:t>
      </w:r>
      <w:r w:rsidR="001C0088">
        <w:t xml:space="preserve">requirements </w:t>
      </w:r>
      <w:r w:rsidR="00E8188C">
        <w:t xml:space="preserve">for base station receiver to receive a wanted signal on part of the UL PRBs, while </w:t>
      </w:r>
      <w:r w:rsidR="0079676D">
        <w:t>having interfering signal on adjacent PRBs at a higher power spectral density.</w:t>
      </w:r>
      <w:r w:rsidR="000F6C6D">
        <w:t xml:space="preserve"> The power difference in the test</w:t>
      </w:r>
      <w:r w:rsidR="00BB1310">
        <w:t xml:space="preserve"> is in the order of </w:t>
      </w:r>
      <w:r w:rsidR="00F8128E">
        <w:t>20 dB, but this requirement is based on legacy coexistence simulations of power levels that might occur in the field</w:t>
      </w:r>
      <w:r w:rsidR="0040526A">
        <w:t>. In other words, any of the new interference scenarios of SBFD are not considered in the in-channel selectivity requirement.</w:t>
      </w:r>
    </w:p>
    <w:p w14:paraId="36FC4E87" w14:textId="0C4D5964" w:rsidR="00130966" w:rsidRDefault="00AA7117" w:rsidP="00CA5340">
      <w:r>
        <w:t xml:space="preserve">Typical base station receivers would not rely on </w:t>
      </w:r>
      <w:proofErr w:type="spellStart"/>
      <w:r>
        <w:t>analog</w:t>
      </w:r>
      <w:proofErr w:type="spellEnd"/>
      <w:r>
        <w:t xml:space="preserve"> channel filters</w:t>
      </w:r>
      <w:r w:rsidR="00210C67">
        <w:t xml:space="preserve"> in the adjacent channel selectivity tests</w:t>
      </w:r>
      <w:r w:rsidR="003B27AC">
        <w:t xml:space="preserve">, and </w:t>
      </w:r>
      <w:r w:rsidR="00130966">
        <w:t xml:space="preserve">neither, by definition, in the in-channel selectivity tests. </w:t>
      </w:r>
      <w:r w:rsidR="00E25411">
        <w:t>As</w:t>
      </w:r>
      <w:r w:rsidR="005C62E7">
        <w:t xml:space="preserve"> the receiver digital filters are </w:t>
      </w:r>
      <w:r w:rsidR="00E25411">
        <w:t>likely</w:t>
      </w:r>
      <w:r w:rsidR="005C62E7">
        <w:t xml:space="preserve"> re-designed for any SBFD </w:t>
      </w:r>
      <w:proofErr w:type="spellStart"/>
      <w:r w:rsidR="00852AE3">
        <w:t>gNB</w:t>
      </w:r>
      <w:proofErr w:type="spellEnd"/>
      <w:r w:rsidR="00852AE3">
        <w:t xml:space="preserve">, </w:t>
      </w:r>
      <w:r w:rsidR="00AB0954">
        <w:t>the legacy in-channel selectivity requirement is very conservative</w:t>
      </w:r>
      <w:r w:rsidR="00E25411">
        <w:t xml:space="preserve">. As a starting point in system level evaluations, ACS </w:t>
      </w:r>
      <w:r w:rsidR="00CB6EAC">
        <w:t xml:space="preserve">performance could be used </w:t>
      </w:r>
      <w:r w:rsidR="008D13B3">
        <w:t>for in-channel selectivity.</w:t>
      </w:r>
    </w:p>
    <w:p w14:paraId="23A0FED3" w14:textId="5DABF75B" w:rsidR="007C736E" w:rsidRDefault="008D13B3" w:rsidP="00CA5340">
      <w:pPr>
        <w:rPr>
          <w:b/>
          <w:bCs/>
        </w:rPr>
      </w:pPr>
      <w:r>
        <w:rPr>
          <w:b/>
          <w:bCs/>
        </w:rPr>
        <w:t xml:space="preserve">Observation </w:t>
      </w:r>
      <w:r w:rsidR="00612B30">
        <w:rPr>
          <w:b/>
          <w:bCs/>
        </w:rPr>
        <w:t>6</w:t>
      </w:r>
      <w:r>
        <w:rPr>
          <w:b/>
          <w:bCs/>
        </w:rPr>
        <w:t xml:space="preserve">: Legacy </w:t>
      </w:r>
      <w:proofErr w:type="spellStart"/>
      <w:r>
        <w:rPr>
          <w:b/>
          <w:bCs/>
        </w:rPr>
        <w:t>gNB</w:t>
      </w:r>
      <w:proofErr w:type="spellEnd"/>
      <w:r>
        <w:rPr>
          <w:b/>
          <w:bCs/>
        </w:rPr>
        <w:t xml:space="preserve"> in-channel selectivity requirements are very conservative and not based on </w:t>
      </w:r>
      <w:r w:rsidR="00D57050">
        <w:rPr>
          <w:b/>
          <w:bCs/>
        </w:rPr>
        <w:t>interference scenarios observed in SBFD deployments.</w:t>
      </w:r>
    </w:p>
    <w:p w14:paraId="5EEE431A" w14:textId="1673192D" w:rsidR="007C736E" w:rsidRPr="00CA5340" w:rsidRDefault="00D57050" w:rsidP="00CA5340">
      <w:r>
        <w:rPr>
          <w:b/>
          <w:bCs/>
        </w:rPr>
        <w:t xml:space="preserve">Proposal </w:t>
      </w:r>
      <w:r w:rsidR="00A27CBE">
        <w:rPr>
          <w:b/>
          <w:bCs/>
        </w:rPr>
        <w:t>5</w:t>
      </w:r>
      <w:r>
        <w:rPr>
          <w:b/>
          <w:bCs/>
        </w:rPr>
        <w:t>: As a starting point in SBFD system level evaluations, use the adjacent channel selectivity</w:t>
      </w:r>
      <w:r w:rsidR="008B2D2E">
        <w:rPr>
          <w:b/>
          <w:bCs/>
        </w:rPr>
        <w:t xml:space="preserve"> performance </w:t>
      </w:r>
      <w:r w:rsidR="001B736A">
        <w:rPr>
          <w:b/>
          <w:bCs/>
        </w:rPr>
        <w:t>for in-channel selectivity.</w:t>
      </w:r>
    </w:p>
    <w:p w14:paraId="41376E54" w14:textId="03356EC0" w:rsidR="00D749EE" w:rsidRDefault="006E528B" w:rsidP="00CA5340">
      <w:pPr>
        <w:pStyle w:val="Heading3"/>
      </w:pPr>
      <w:proofErr w:type="spellStart"/>
      <w:r>
        <w:t>gNB</w:t>
      </w:r>
      <w:proofErr w:type="spellEnd"/>
      <w:r>
        <w:t xml:space="preserve"> self-interference cancellation</w:t>
      </w:r>
    </w:p>
    <w:p w14:paraId="5272249A" w14:textId="77777777" w:rsidR="00B21D69" w:rsidRDefault="00F90BAD" w:rsidP="00590F0C">
      <w:r>
        <w:t>In</w:t>
      </w:r>
      <w:r w:rsidR="00446E64">
        <w:t xml:space="preserve"> SBFD</w:t>
      </w:r>
      <w:r>
        <w:t xml:space="preserve"> with part of the channel allocated for DL transmissions, and part for UL reception in the same slot</w:t>
      </w:r>
      <w:r w:rsidR="00446E64">
        <w:t xml:space="preserve">, the </w:t>
      </w:r>
      <w:proofErr w:type="spellStart"/>
      <w:r w:rsidR="00446E64">
        <w:t>gNB</w:t>
      </w:r>
      <w:proofErr w:type="spellEnd"/>
      <w:r w:rsidR="00446E64">
        <w:t xml:space="preserve"> self-interference </w:t>
      </w:r>
      <w:r w:rsidR="00D7006E">
        <w:t>results from 1) in-channel unwanted emissions, and 2) in-channel selectivity.</w:t>
      </w:r>
      <w:r w:rsidR="00261167">
        <w:t xml:space="preserve"> Both have been discussed above in the previous sections.</w:t>
      </w:r>
    </w:p>
    <w:p w14:paraId="2A52F9C7" w14:textId="7305A347" w:rsidR="00B21D69" w:rsidRDefault="00B21D69" w:rsidP="00590F0C">
      <w:r>
        <w:t>The self-interference cancellation requirement is quite significant.</w:t>
      </w:r>
      <w:r w:rsidR="006F5463">
        <w:t xml:space="preserve"> Cancellation architectures for </w:t>
      </w:r>
      <w:proofErr w:type="spellStart"/>
      <w:r w:rsidR="006F5463">
        <w:t>gNB</w:t>
      </w:r>
      <w:proofErr w:type="spellEnd"/>
      <w:r w:rsidR="006F5463">
        <w:t xml:space="preserve"> are illustrated in Figure 5.</w:t>
      </w:r>
      <w:r w:rsidR="007021C8">
        <w:t xml:space="preserve"> In a legacy TDD transceiver, the </w:t>
      </w:r>
      <w:r w:rsidR="001410EB">
        <w:t xml:space="preserve">main </w:t>
      </w:r>
      <w:r w:rsidR="007021C8">
        <w:t xml:space="preserve">leakage paths are through the </w:t>
      </w:r>
      <w:r w:rsidR="001410EB">
        <w:t>circulator, and reflections from the antenna path.</w:t>
      </w:r>
      <w:r w:rsidR="00B92F6E">
        <w:t xml:space="preserve"> Typical </w:t>
      </w:r>
      <w:r w:rsidR="009D1A33">
        <w:t xml:space="preserve">circulator </w:t>
      </w:r>
      <w:r w:rsidR="00B92F6E">
        <w:t xml:space="preserve">port-to-port isolation </w:t>
      </w:r>
      <w:r w:rsidR="009D1A33">
        <w:t xml:space="preserve">may be in the order of 20 dB, </w:t>
      </w:r>
      <w:r w:rsidR="00EE57C6">
        <w:t xml:space="preserve">which is similar </w:t>
      </w:r>
      <w:r w:rsidR="00C04A19">
        <w:t xml:space="preserve">to the antenna </w:t>
      </w:r>
      <w:r w:rsidR="00D70ECB">
        <w:t xml:space="preserve">return loss with very good </w:t>
      </w:r>
      <w:proofErr w:type="spellStart"/>
      <w:r w:rsidR="00D70ECB">
        <w:t>matcing</w:t>
      </w:r>
      <w:proofErr w:type="spellEnd"/>
      <w:r w:rsidR="00D70ECB">
        <w:t>.</w:t>
      </w:r>
      <w:r w:rsidR="0032094F">
        <w:t xml:space="preserve"> Hence for a 64TRX device with 44 dBm total transmit power</w:t>
      </w:r>
      <w:r w:rsidR="0069568E">
        <w:t xml:space="preserve"> (Dense Urban scenario)</w:t>
      </w:r>
      <w:r w:rsidR="0032094F">
        <w:t xml:space="preserve">, each receiver </w:t>
      </w:r>
      <w:r w:rsidR="0069568E">
        <w:t xml:space="preserve">path </w:t>
      </w:r>
      <w:r w:rsidR="0032094F">
        <w:t xml:space="preserve">would see </w:t>
      </w:r>
      <w:r w:rsidR="0024797D">
        <w:t xml:space="preserve">worst case </w:t>
      </w:r>
      <w:r w:rsidR="00565A88">
        <w:t>blocking signal of about 6 dBm, which cannot be handled.</w:t>
      </w:r>
    </w:p>
    <w:p w14:paraId="13630EF7" w14:textId="77777777" w:rsidR="006F5463" w:rsidRDefault="001769D0" w:rsidP="006F5463">
      <w:pPr>
        <w:keepNext/>
        <w:jc w:val="center"/>
      </w:pPr>
      <w:r>
        <w:rPr>
          <w:noProof/>
        </w:rPr>
        <w:drawing>
          <wp:inline distT="0" distB="0" distL="0" distR="0" wp14:anchorId="5FA214DA" wp14:editId="0B73C152">
            <wp:extent cx="6120765" cy="1402715"/>
            <wp:effectExtent l="0" t="0" r="0" b="698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1402715"/>
                    </a:xfrm>
                    <a:prstGeom prst="rect">
                      <a:avLst/>
                    </a:prstGeom>
                    <a:noFill/>
                    <a:ln>
                      <a:noFill/>
                    </a:ln>
                  </pic:spPr>
                </pic:pic>
              </a:graphicData>
            </a:graphic>
          </wp:inline>
        </w:drawing>
      </w:r>
    </w:p>
    <w:p w14:paraId="08A685A6" w14:textId="2D6C84F2" w:rsidR="00446E64" w:rsidRDefault="006F5463" w:rsidP="006F5463">
      <w:pPr>
        <w:pStyle w:val="Caption"/>
        <w:jc w:val="center"/>
      </w:pPr>
      <w:r>
        <w:t xml:space="preserve">Figure </w:t>
      </w:r>
      <w:r>
        <w:fldChar w:fldCharType="begin"/>
      </w:r>
      <w:r>
        <w:instrText xml:space="preserve"> SEQ Figure \* ARABIC </w:instrText>
      </w:r>
      <w:r>
        <w:fldChar w:fldCharType="separate"/>
      </w:r>
      <w:r w:rsidR="00D25A7F">
        <w:rPr>
          <w:noProof/>
        </w:rPr>
        <w:t>6</w:t>
      </w:r>
      <w:r>
        <w:fldChar w:fldCharType="end"/>
      </w:r>
      <w:r>
        <w:t xml:space="preserve">: Different </w:t>
      </w:r>
      <w:proofErr w:type="spellStart"/>
      <w:r>
        <w:t>gNB</w:t>
      </w:r>
      <w:proofErr w:type="spellEnd"/>
      <w:r>
        <w:t xml:space="preserve"> architecture options for SBFD self-interference cancellation.</w:t>
      </w:r>
    </w:p>
    <w:p w14:paraId="099ADCB2" w14:textId="317B4A8C" w:rsidR="001769D0" w:rsidRDefault="00016B06" w:rsidP="00590F0C">
      <w:r>
        <w:t xml:space="preserve">Literature </w:t>
      </w:r>
      <w:r w:rsidR="00C00A1E">
        <w:t xml:space="preserve">shows designs for different kinds of RF cancel paths, that cancel the </w:t>
      </w:r>
      <w:r w:rsidR="00D454DE">
        <w:t xml:space="preserve">transmitted signal in the RF domain, before </w:t>
      </w:r>
      <w:r w:rsidR="00295B44">
        <w:t>it</w:t>
      </w:r>
      <w:r w:rsidR="00D454DE">
        <w:t xml:space="preserve"> enter</w:t>
      </w:r>
      <w:r w:rsidR="00295B44">
        <w:t>s</w:t>
      </w:r>
      <w:r w:rsidR="00D454DE">
        <w:t xml:space="preserve"> the </w:t>
      </w:r>
      <w:r w:rsidR="00295B44">
        <w:t xml:space="preserve">sensitive </w:t>
      </w:r>
      <w:r w:rsidR="00A610AC">
        <w:t>receiver circuitry. One option (shown in Figure 5) is a direct path from the PA output to the LNA input</w:t>
      </w:r>
      <w:r w:rsidR="004B0640">
        <w:t xml:space="preserve">, phase and amplitude matched to </w:t>
      </w:r>
      <w:r w:rsidR="00487686">
        <w:t>the transmit signal coupled from the antenna</w:t>
      </w:r>
      <w:r w:rsidR="006E6193">
        <w:t>. Performance figures in the order of 20 dB</w:t>
      </w:r>
      <w:r w:rsidR="009227AB">
        <w:t xml:space="preserve"> have been demonstrated, </w:t>
      </w:r>
      <w:r w:rsidR="00B6462E">
        <w:t>which might be feasible</w:t>
      </w:r>
      <w:r w:rsidR="00DD49C7">
        <w:t xml:space="preserve"> to suppress the blocking signal to a </w:t>
      </w:r>
      <w:r w:rsidR="000B1CC9">
        <w:t xml:space="preserve">more </w:t>
      </w:r>
      <w:r w:rsidR="00DD49C7">
        <w:t>tolerable le</w:t>
      </w:r>
      <w:r w:rsidR="000B1CC9">
        <w:t xml:space="preserve">vel. The problems associated with such RF cancellation are the complexity of the circuitry (not scaling well to multi-TRX solutions), and the leakage across transceiver antenna elements (each receiver would require cancellation of multiple transmitters). In addition, the added passive components in the receiver chain increase the noise figure of the base station, even if cancellation is not needed. We do not </w:t>
      </w:r>
      <w:r w:rsidR="00A12AC3">
        <w:t>see</w:t>
      </w:r>
      <w:r w:rsidR="000B1CC9">
        <w:t xml:space="preserve"> </w:t>
      </w:r>
      <w:r w:rsidR="00691FAB">
        <w:t>such RF cancellation techniques are mature enough for commercial use at the present time.</w:t>
      </w:r>
    </w:p>
    <w:p w14:paraId="2CD31295" w14:textId="25F866FE" w:rsidR="00691FAB" w:rsidRDefault="00691FAB" w:rsidP="00590F0C">
      <w:r>
        <w:t xml:space="preserve">If separate TX and RX antennas are used, it may be possible to isolate the transmitters from the receivers. Some physical shielding may be incorporated into the antenna construction, further adding </w:t>
      </w:r>
      <w:r w:rsidR="00DC5C1B">
        <w:t>to isolation. The drawbacks are that for a given size and weight (of an AAS macro antenna, for example), only half of the elements or less are available for TX and RX, and also results in the loss of reciprocity between TX and RX. However, isolation in the order of 70 dB could be envisioned</w:t>
      </w:r>
      <w:r w:rsidR="007266AE">
        <w:t xml:space="preserve"> at about 4 GHz frequency,</w:t>
      </w:r>
      <w:r w:rsidR="002C56D6">
        <w:t xml:space="preserve"> which </w:t>
      </w:r>
      <w:r w:rsidR="007266AE">
        <w:t xml:space="preserve">in turn allows SBFD with only small penalty to the </w:t>
      </w:r>
      <w:proofErr w:type="spellStart"/>
      <w:r w:rsidR="007266AE">
        <w:t>gNB</w:t>
      </w:r>
      <w:proofErr w:type="spellEnd"/>
      <w:r w:rsidR="007266AE">
        <w:t xml:space="preserve"> receiver.</w:t>
      </w:r>
      <w:r w:rsidR="00FC42DE">
        <w:t xml:space="preserve"> No further </w:t>
      </w:r>
      <w:proofErr w:type="spellStart"/>
      <w:r w:rsidR="00FC42DE">
        <w:t>analog</w:t>
      </w:r>
      <w:proofErr w:type="spellEnd"/>
      <w:r w:rsidR="00FC42DE">
        <w:t xml:space="preserve"> cancellation </w:t>
      </w:r>
      <w:r w:rsidR="006122B0">
        <w:t>might be necessary.</w:t>
      </w:r>
    </w:p>
    <w:p w14:paraId="119C4B99" w14:textId="47C5C0D6" w:rsidR="006F5463" w:rsidRPr="009F7638" w:rsidRDefault="007266AE" w:rsidP="00590F0C">
      <w:pPr>
        <w:rPr>
          <w:b/>
          <w:bCs/>
        </w:rPr>
      </w:pPr>
      <w:r>
        <w:rPr>
          <w:b/>
          <w:bCs/>
        </w:rPr>
        <w:lastRenderedPageBreak/>
        <w:t xml:space="preserve">Observation </w:t>
      </w:r>
      <w:r w:rsidR="00612B30">
        <w:rPr>
          <w:b/>
          <w:bCs/>
        </w:rPr>
        <w:t>7</w:t>
      </w:r>
      <w:r>
        <w:rPr>
          <w:b/>
          <w:bCs/>
        </w:rPr>
        <w:t xml:space="preserve">: </w:t>
      </w:r>
      <w:r w:rsidR="00FC42DE">
        <w:rPr>
          <w:b/>
          <w:bCs/>
        </w:rPr>
        <w:t>Using s</w:t>
      </w:r>
      <w:r>
        <w:rPr>
          <w:b/>
          <w:bCs/>
        </w:rPr>
        <w:t xml:space="preserve">eparate TX and RX </w:t>
      </w:r>
      <w:r w:rsidR="00FC42DE">
        <w:rPr>
          <w:b/>
          <w:bCs/>
        </w:rPr>
        <w:t xml:space="preserve">antennas seems the most promising SBFD </w:t>
      </w:r>
      <w:proofErr w:type="spellStart"/>
      <w:r w:rsidR="006122B0">
        <w:rPr>
          <w:b/>
          <w:bCs/>
        </w:rPr>
        <w:t>gNB</w:t>
      </w:r>
      <w:proofErr w:type="spellEnd"/>
      <w:r w:rsidR="006122B0">
        <w:rPr>
          <w:b/>
          <w:bCs/>
        </w:rPr>
        <w:t xml:space="preserve"> RF architecture.</w:t>
      </w:r>
    </w:p>
    <w:p w14:paraId="220AB47F" w14:textId="3E4FED4A" w:rsidR="009F7638" w:rsidRDefault="003313BB" w:rsidP="00590F0C">
      <w:r>
        <w:t>Some calculations with the earlier RF performance assumptions and 20…70 dB TX-to-RX isolation are presented in Table 3.</w:t>
      </w:r>
      <w:r w:rsidR="007E6461">
        <w:t xml:space="preserve"> While there are many different</w:t>
      </w:r>
      <w:r w:rsidR="00117C1E">
        <w:t xml:space="preserve"> implementation</w:t>
      </w:r>
      <w:r w:rsidR="007E6461">
        <w:t xml:space="preserve"> aspects to the receiver linearity</w:t>
      </w:r>
      <w:r w:rsidR="00117C1E">
        <w:t>, similar approach as for ACS has been adopted for the in-channel selectivity.</w:t>
      </w:r>
    </w:p>
    <w:p w14:paraId="69FF075D" w14:textId="17CD6797" w:rsidR="003313BB" w:rsidRDefault="003313BB" w:rsidP="003313BB">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Self-interference in Dense Urban scenario.</w:t>
      </w:r>
    </w:p>
    <w:p w14:paraId="7C8A5EB8" w14:textId="6802A15A" w:rsidR="00727533" w:rsidRDefault="00B9307D" w:rsidP="003313BB">
      <w:pPr>
        <w:jc w:val="center"/>
      </w:pPr>
      <w:r w:rsidRPr="00B9307D">
        <w:rPr>
          <w:noProof/>
        </w:rPr>
        <w:drawing>
          <wp:inline distT="0" distB="0" distL="0" distR="0" wp14:anchorId="593CC1FC" wp14:editId="46161400">
            <wp:extent cx="6120765" cy="3430905"/>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430905"/>
                    </a:xfrm>
                    <a:prstGeom prst="rect">
                      <a:avLst/>
                    </a:prstGeom>
                    <a:noFill/>
                    <a:ln>
                      <a:noFill/>
                    </a:ln>
                  </pic:spPr>
                </pic:pic>
              </a:graphicData>
            </a:graphic>
          </wp:inline>
        </w:drawing>
      </w:r>
    </w:p>
    <w:p w14:paraId="23C15E72" w14:textId="45A33380" w:rsidR="003313BB" w:rsidRDefault="003313BB" w:rsidP="003313BB">
      <w:r>
        <w:t xml:space="preserve">Using the performance assumptions for </w:t>
      </w:r>
      <w:proofErr w:type="spellStart"/>
      <w:r>
        <w:t>gNB</w:t>
      </w:r>
      <w:proofErr w:type="spellEnd"/>
      <w:r>
        <w:t xml:space="preserve"> in-channel emissions and in-channel selectivity, it is possible to create a model for the resulting self-interference in SBFD usage.</w:t>
      </w:r>
      <w:r w:rsidR="00A03641">
        <w:t xml:space="preserve"> The proposed model is discussed in R1-22</w:t>
      </w:r>
      <w:r w:rsidR="00D545C0">
        <w:t>04430.</w:t>
      </w:r>
    </w:p>
    <w:p w14:paraId="64237802" w14:textId="44B56542" w:rsidR="00A05D3B" w:rsidRDefault="00D545C0" w:rsidP="00590F0C">
      <w:r>
        <w:rPr>
          <w:b/>
          <w:bCs/>
        </w:rPr>
        <w:t xml:space="preserve">Proposal </w:t>
      </w:r>
      <w:r w:rsidR="00612B30">
        <w:rPr>
          <w:b/>
          <w:bCs/>
        </w:rPr>
        <w:t>6</w:t>
      </w:r>
      <w:r>
        <w:rPr>
          <w:b/>
          <w:bCs/>
        </w:rPr>
        <w:t xml:space="preserve">: Send LS to RAN4 and ask feedback on </w:t>
      </w:r>
      <w:proofErr w:type="spellStart"/>
      <w:r>
        <w:rPr>
          <w:b/>
          <w:bCs/>
        </w:rPr>
        <w:t>gNB</w:t>
      </w:r>
      <w:proofErr w:type="spellEnd"/>
      <w:r>
        <w:rPr>
          <w:b/>
          <w:bCs/>
        </w:rPr>
        <w:t xml:space="preserve"> in-channel emissions (including guard band between DL and UL)</w:t>
      </w:r>
      <w:r w:rsidR="009107D6">
        <w:rPr>
          <w:b/>
          <w:bCs/>
        </w:rPr>
        <w:t>, in-channel</w:t>
      </w:r>
      <w:r>
        <w:rPr>
          <w:b/>
          <w:bCs/>
        </w:rPr>
        <w:t xml:space="preserve"> selectivity performance, and achievable self-interference cancellation performance, to be used in system level </w:t>
      </w:r>
      <w:r w:rsidR="009107D6">
        <w:rPr>
          <w:b/>
          <w:bCs/>
        </w:rPr>
        <w:t>evaluation</w:t>
      </w:r>
      <w:r>
        <w:rPr>
          <w:b/>
          <w:bCs/>
        </w:rPr>
        <w:t>s.</w:t>
      </w:r>
    </w:p>
    <w:p w14:paraId="3D62AB4B" w14:textId="091B33EA" w:rsidR="00A05D3B" w:rsidRDefault="002927CC" w:rsidP="00F33D2A">
      <w:pPr>
        <w:pStyle w:val="Heading3"/>
      </w:pPr>
      <w:r>
        <w:t xml:space="preserve">UE to UE </w:t>
      </w:r>
      <w:r w:rsidR="007B4FC1">
        <w:t>interference</w:t>
      </w:r>
    </w:p>
    <w:p w14:paraId="6E61003F" w14:textId="712A42B9" w:rsidR="006A6DBF" w:rsidRDefault="00510A73" w:rsidP="00590F0C">
      <w:r>
        <w:t xml:space="preserve">In SBFD deployments, </w:t>
      </w:r>
      <w:r w:rsidR="000400E8">
        <w:t>intra-cell inter-</w:t>
      </w:r>
      <w:proofErr w:type="spellStart"/>
      <w:r w:rsidR="000400E8">
        <w:t>subband</w:t>
      </w:r>
      <w:proofErr w:type="spellEnd"/>
      <w:r w:rsidR="000400E8">
        <w:t xml:space="preserve"> interference may occur between UEs that are connected to the same cell, and one is receiving its DL allocation </w:t>
      </w:r>
      <w:proofErr w:type="gramStart"/>
      <w:r w:rsidR="000400E8">
        <w:t>at the same time that</w:t>
      </w:r>
      <w:proofErr w:type="gramEnd"/>
      <w:r w:rsidR="000400E8">
        <w:t xml:space="preserve"> another one is transmitting in UL. This is contrary to </w:t>
      </w:r>
      <w:r w:rsidR="00233EA0">
        <w:t>legacy TDD or dynamic TDD</w:t>
      </w:r>
      <w:r w:rsidR="00FD59ED">
        <w:t>. In dynamic TDD, inter-cell</w:t>
      </w:r>
      <w:r w:rsidR="006A6DBF">
        <w:t xml:space="preserve"> interference may occur from UL to DL, but studies showed that this may be relatively infrequent.</w:t>
      </w:r>
    </w:p>
    <w:p w14:paraId="0A12DFFA" w14:textId="08BF0B20" w:rsidR="006A6DBF" w:rsidRDefault="00415C5E" w:rsidP="00590F0C">
      <w:r>
        <w:t xml:space="preserve">RAN4 specifies the UE in-band emissions in 38.101-1 clause </w:t>
      </w:r>
      <w:r w:rsidR="008448FB">
        <w:t xml:space="preserve">6.4.2.3. </w:t>
      </w:r>
      <w:r w:rsidR="00DB651D">
        <w:t>These requirements may be used as the starting point in system level evaluations for SBFD.</w:t>
      </w:r>
    </w:p>
    <w:p w14:paraId="15601DC7" w14:textId="26A3A422" w:rsidR="00DB651D" w:rsidRDefault="0050713F" w:rsidP="00590F0C">
      <w:r>
        <w:t>RAN4 however does not specify in-channel selectivity for UEs, as this interference scenario is a new one</w:t>
      </w:r>
      <w:r w:rsidR="008F4684">
        <w:t xml:space="preserve">. UE implementations may use </w:t>
      </w:r>
      <w:proofErr w:type="spellStart"/>
      <w:r w:rsidR="008F4684">
        <w:t>analog</w:t>
      </w:r>
      <w:proofErr w:type="spellEnd"/>
      <w:r w:rsidR="008F4684">
        <w:t xml:space="preserve"> channel filtering to cope with adjacent channel selectivity requirements, but in SBFD, </w:t>
      </w:r>
      <w:proofErr w:type="spellStart"/>
      <w:r w:rsidR="008F4684">
        <w:t>analog</w:t>
      </w:r>
      <w:proofErr w:type="spellEnd"/>
      <w:r w:rsidR="008F4684">
        <w:t xml:space="preserve"> filtering might not be applicable</w:t>
      </w:r>
      <w:r w:rsidR="00204183">
        <w:t>. Whether or not a UE could adjust its receive filtering based on the allocated sub-band, will</w:t>
      </w:r>
      <w:r w:rsidR="008F4684">
        <w:t xml:space="preserve"> depend </w:t>
      </w:r>
      <w:r w:rsidR="00204183">
        <w:t>various issues (e.g. UE hardware implementation, and physical layer design e.g. allowed sub-band switching times).</w:t>
      </w:r>
      <w:r w:rsidR="00FA08C6">
        <w:t xml:space="preserve"> In system level evaluations, no sub-band based </w:t>
      </w:r>
      <w:proofErr w:type="spellStart"/>
      <w:r w:rsidR="00FA08C6">
        <w:t>analog</w:t>
      </w:r>
      <w:proofErr w:type="spellEnd"/>
      <w:r w:rsidR="00FA08C6">
        <w:t xml:space="preserve"> filtering should be assumed.</w:t>
      </w:r>
    </w:p>
    <w:p w14:paraId="33DEFFAA" w14:textId="76C132CA" w:rsidR="00FA08C6" w:rsidRPr="00FA08C6" w:rsidRDefault="00FA08C6" w:rsidP="00590F0C">
      <w:pPr>
        <w:rPr>
          <w:b/>
          <w:bCs/>
        </w:rPr>
      </w:pPr>
      <w:r>
        <w:rPr>
          <w:b/>
          <w:bCs/>
        </w:rPr>
        <w:t xml:space="preserve">Observation </w:t>
      </w:r>
      <w:r w:rsidR="00612B30">
        <w:rPr>
          <w:b/>
          <w:bCs/>
        </w:rPr>
        <w:t>8</w:t>
      </w:r>
      <w:r>
        <w:rPr>
          <w:b/>
          <w:bCs/>
        </w:rPr>
        <w:t xml:space="preserve">: UE in-band emission requirements are specified by RAN4, but no in-band selectivity requirements exist. For in-band selectivity in system level evaluations, no </w:t>
      </w:r>
      <w:proofErr w:type="spellStart"/>
      <w:r>
        <w:rPr>
          <w:b/>
          <w:bCs/>
        </w:rPr>
        <w:t>analog</w:t>
      </w:r>
      <w:proofErr w:type="spellEnd"/>
      <w:r>
        <w:rPr>
          <w:b/>
          <w:bCs/>
        </w:rPr>
        <w:t xml:space="preserve"> filtering should be assumed.</w:t>
      </w:r>
    </w:p>
    <w:p w14:paraId="5CA6BA70" w14:textId="0D4F300C" w:rsidR="00D749EE" w:rsidRPr="00590F0C" w:rsidRDefault="00FA08C6" w:rsidP="00590F0C">
      <w:r>
        <w:rPr>
          <w:b/>
          <w:bCs/>
        </w:rPr>
        <w:t xml:space="preserve">Proposal </w:t>
      </w:r>
      <w:r w:rsidR="00612B30">
        <w:rPr>
          <w:b/>
          <w:bCs/>
        </w:rPr>
        <w:t>7</w:t>
      </w:r>
      <w:r>
        <w:rPr>
          <w:b/>
          <w:bCs/>
        </w:rPr>
        <w:t>: Send LS to RAN4 to ask for assumptions for UE in-channel selectivity performance to be used in SBFD system level evaluations.</w:t>
      </w:r>
      <w:r w:rsidR="00233EA0">
        <w:t xml:space="preserve"> </w:t>
      </w:r>
    </w:p>
    <w:p w14:paraId="64A1A3A8" w14:textId="77777777" w:rsidR="000D2FD1" w:rsidRPr="002B609D" w:rsidRDefault="000D2FD1" w:rsidP="002B609D"/>
    <w:p w14:paraId="773DE212" w14:textId="663EFDDC" w:rsidR="0099307C" w:rsidRDefault="0099307C" w:rsidP="0099307C">
      <w:pPr>
        <w:pStyle w:val="Heading1"/>
      </w:pPr>
      <w:r>
        <w:lastRenderedPageBreak/>
        <w:t>Conclusion</w:t>
      </w:r>
    </w:p>
    <w:p w14:paraId="199DCB8C" w14:textId="09C4ACE1" w:rsidR="002B609D" w:rsidRPr="002B609D" w:rsidRDefault="00612B30" w:rsidP="002B609D">
      <w:r>
        <w:t>The document discussed adjacent channel and co-channel RF interference issues in dynamic TDD and SBFD. The following observations and proposals were made:</w:t>
      </w:r>
    </w:p>
    <w:p w14:paraId="1B901555" w14:textId="77777777" w:rsidR="00612B30" w:rsidRPr="00C64938" w:rsidRDefault="00612B30" w:rsidP="00612B30">
      <w:pPr>
        <w:rPr>
          <w:b/>
          <w:bCs/>
        </w:rPr>
      </w:pPr>
      <w:r w:rsidRPr="00C64938">
        <w:rPr>
          <w:b/>
          <w:bCs/>
        </w:rPr>
        <w:t xml:space="preserve">Observation </w:t>
      </w:r>
      <w:r>
        <w:rPr>
          <w:b/>
          <w:bCs/>
        </w:rPr>
        <w:t>1</w:t>
      </w:r>
      <w:r w:rsidRPr="00C64938">
        <w:rPr>
          <w:b/>
          <w:bCs/>
        </w:rPr>
        <w:t xml:space="preserve">: </w:t>
      </w:r>
      <w:r w:rsidRPr="004D2295">
        <w:rPr>
          <w:b/>
          <w:bCs/>
        </w:rPr>
        <w:t xml:space="preserve">For a typical 64TRX device, the adjacent channel suppression should be in the order of 115 dB or better to achieve small penalty, </w:t>
      </w:r>
      <w:r>
        <w:rPr>
          <w:b/>
          <w:bCs/>
        </w:rPr>
        <w:t>corresponding to about</w:t>
      </w:r>
      <w:r w:rsidRPr="004D2295">
        <w:rPr>
          <w:b/>
          <w:bCs/>
        </w:rPr>
        <w:t xml:space="preserve"> 70 dB of minimum isolation between the base station antennas in Dense Urban scenario. Using the RAN4 assumptions of 30 dB isolation and 45 dB ACLR, the receiver performance degradation will be in the order of 40 </w:t>
      </w:r>
      <w:proofErr w:type="spellStart"/>
      <w:r w:rsidRPr="004D2295">
        <w:rPr>
          <w:b/>
          <w:bCs/>
        </w:rPr>
        <w:t>dB.</w:t>
      </w:r>
      <w:proofErr w:type="spellEnd"/>
    </w:p>
    <w:p w14:paraId="018F1F4C" w14:textId="77777777" w:rsidR="00612B30" w:rsidRPr="00453666" w:rsidRDefault="00612B30" w:rsidP="00612B30">
      <w:pPr>
        <w:rPr>
          <w:b/>
          <w:bCs/>
        </w:rPr>
      </w:pPr>
      <w:r>
        <w:rPr>
          <w:b/>
          <w:bCs/>
        </w:rPr>
        <w:t xml:space="preserve">Observation 2: Due to the FR1 </w:t>
      </w:r>
      <w:proofErr w:type="spellStart"/>
      <w:r>
        <w:rPr>
          <w:b/>
          <w:bCs/>
        </w:rPr>
        <w:t>gNB</w:t>
      </w:r>
      <w:proofErr w:type="spellEnd"/>
      <w:r>
        <w:rPr>
          <w:b/>
          <w:bCs/>
        </w:rPr>
        <w:t xml:space="preserve"> unwanted emissions spectrum shape, which is mostly flat across the adjacent channel, SBFD provides little or no benefit in adjacent channel coexistence compared to dynamic TDD.</w:t>
      </w:r>
    </w:p>
    <w:p w14:paraId="6EC6386D" w14:textId="77777777" w:rsidR="00612B30" w:rsidRPr="002D37D5" w:rsidRDefault="00612B30" w:rsidP="00612B30">
      <w:pPr>
        <w:rPr>
          <w:b/>
          <w:bCs/>
        </w:rPr>
      </w:pPr>
      <w:r>
        <w:rPr>
          <w:b/>
          <w:bCs/>
        </w:rPr>
        <w:t>Observation 3: Existing minimum RAN4 RF requirements and assumptions do not enable co-location of base stations using either dynamic TDD or SBFD.</w:t>
      </w:r>
    </w:p>
    <w:p w14:paraId="0AF7E758" w14:textId="77777777" w:rsidR="00612B30" w:rsidRPr="001D5E37" w:rsidRDefault="00612B30" w:rsidP="00612B30">
      <w:pPr>
        <w:rPr>
          <w:b/>
          <w:bCs/>
        </w:rPr>
      </w:pPr>
      <w:r>
        <w:rPr>
          <w:b/>
          <w:bCs/>
        </w:rPr>
        <w:t xml:space="preserve">Observation 4: Passive antenna systems are not sufficient for dynamic TDD or SBFD adjacent channel coexistence in a non-collocated deployment in Dense Urban scenario (outdoor macro and micro </w:t>
      </w:r>
      <w:proofErr w:type="spellStart"/>
      <w:r>
        <w:rPr>
          <w:b/>
          <w:bCs/>
        </w:rPr>
        <w:t>gNBs</w:t>
      </w:r>
      <w:proofErr w:type="spellEnd"/>
      <w:r>
        <w:rPr>
          <w:b/>
          <w:bCs/>
        </w:rPr>
        <w:t xml:space="preserve">). AAS is practically required at all outdoor </w:t>
      </w:r>
      <w:proofErr w:type="spellStart"/>
      <w:r>
        <w:rPr>
          <w:b/>
          <w:bCs/>
        </w:rPr>
        <w:t>gNBs</w:t>
      </w:r>
      <w:proofErr w:type="spellEnd"/>
      <w:r>
        <w:rPr>
          <w:b/>
          <w:bCs/>
        </w:rPr>
        <w:t>.</w:t>
      </w:r>
    </w:p>
    <w:p w14:paraId="2A40CEB0" w14:textId="0150544D" w:rsidR="00612B30" w:rsidRPr="00A27CBE" w:rsidRDefault="00612B30" w:rsidP="00612B30">
      <w:pPr>
        <w:rPr>
          <w:b/>
          <w:bCs/>
        </w:rPr>
      </w:pPr>
      <w:r>
        <w:rPr>
          <w:b/>
          <w:bCs/>
        </w:rPr>
        <w:t xml:space="preserve">Observation 5: </w:t>
      </w:r>
      <w:r w:rsidR="002D4332">
        <w:rPr>
          <w:b/>
          <w:bCs/>
        </w:rPr>
        <w:t xml:space="preserve">Adjacent channel UE-to-UE coexistence in SBFD is better than in dynamic TDD. </w:t>
      </w:r>
    </w:p>
    <w:p w14:paraId="4BD12E45" w14:textId="77777777" w:rsidR="00612B30" w:rsidRDefault="00612B30" w:rsidP="00612B30">
      <w:pPr>
        <w:rPr>
          <w:b/>
          <w:bCs/>
        </w:rPr>
      </w:pPr>
      <w:r>
        <w:rPr>
          <w:b/>
          <w:bCs/>
        </w:rPr>
        <w:t xml:space="preserve">Observation 6: Legacy </w:t>
      </w:r>
      <w:proofErr w:type="spellStart"/>
      <w:r>
        <w:rPr>
          <w:b/>
          <w:bCs/>
        </w:rPr>
        <w:t>gNB</w:t>
      </w:r>
      <w:proofErr w:type="spellEnd"/>
      <w:r>
        <w:rPr>
          <w:b/>
          <w:bCs/>
        </w:rPr>
        <w:t xml:space="preserve"> in-channel selectivity requirements are very conservative and not based on interference scenarios observed in SBFD deployments.</w:t>
      </w:r>
    </w:p>
    <w:p w14:paraId="282B5D66" w14:textId="77777777" w:rsidR="00612B30" w:rsidRPr="009F7638" w:rsidRDefault="00612B30" w:rsidP="00612B30">
      <w:pPr>
        <w:rPr>
          <w:b/>
          <w:bCs/>
        </w:rPr>
      </w:pPr>
      <w:r>
        <w:rPr>
          <w:b/>
          <w:bCs/>
        </w:rPr>
        <w:t xml:space="preserve">Observation 7: Using separate TX and RX antennas seems the most promising SBFD </w:t>
      </w:r>
      <w:proofErr w:type="spellStart"/>
      <w:r>
        <w:rPr>
          <w:b/>
          <w:bCs/>
        </w:rPr>
        <w:t>gNB</w:t>
      </w:r>
      <w:proofErr w:type="spellEnd"/>
      <w:r>
        <w:rPr>
          <w:b/>
          <w:bCs/>
        </w:rPr>
        <w:t xml:space="preserve"> RF architecture.</w:t>
      </w:r>
    </w:p>
    <w:p w14:paraId="4921C21B" w14:textId="77777777" w:rsidR="00612B30" w:rsidRPr="00FA08C6" w:rsidRDefault="00612B30" w:rsidP="00612B30">
      <w:pPr>
        <w:rPr>
          <w:b/>
          <w:bCs/>
        </w:rPr>
      </w:pPr>
      <w:r>
        <w:rPr>
          <w:b/>
          <w:bCs/>
        </w:rPr>
        <w:t xml:space="preserve">Observation 8: UE in-band emission requirements are specified by RAN4, but no in-band selectivity requirements exist. For in-band selectivity in system level evaluations, no </w:t>
      </w:r>
      <w:proofErr w:type="spellStart"/>
      <w:r>
        <w:rPr>
          <w:b/>
          <w:bCs/>
        </w:rPr>
        <w:t>analog</w:t>
      </w:r>
      <w:proofErr w:type="spellEnd"/>
      <w:r>
        <w:rPr>
          <w:b/>
          <w:bCs/>
        </w:rPr>
        <w:t xml:space="preserve"> filtering should be assumed.</w:t>
      </w:r>
    </w:p>
    <w:p w14:paraId="1269DC04" w14:textId="77777777" w:rsidR="00612B30" w:rsidRPr="00DA7508" w:rsidRDefault="00612B30" w:rsidP="00612B30">
      <w:pPr>
        <w:rPr>
          <w:b/>
          <w:bCs/>
        </w:rPr>
      </w:pPr>
      <w:r>
        <w:rPr>
          <w:b/>
          <w:bCs/>
        </w:rPr>
        <w:t xml:space="preserve">Proposal 1: Send LS to RAN4 for feedback on achievable </w:t>
      </w:r>
      <w:proofErr w:type="spellStart"/>
      <w:r>
        <w:rPr>
          <w:b/>
          <w:bCs/>
        </w:rPr>
        <w:t>gNB</w:t>
      </w:r>
      <w:proofErr w:type="spellEnd"/>
      <w:r>
        <w:rPr>
          <w:b/>
          <w:bCs/>
        </w:rPr>
        <w:t>-to-</w:t>
      </w:r>
      <w:proofErr w:type="spellStart"/>
      <w:r>
        <w:rPr>
          <w:b/>
          <w:bCs/>
        </w:rPr>
        <w:t>gNB</w:t>
      </w:r>
      <w:proofErr w:type="spellEnd"/>
      <w:r>
        <w:rPr>
          <w:b/>
          <w:bCs/>
        </w:rPr>
        <w:t xml:space="preserve"> isolation and on adjacent channel RF performance</w:t>
      </w:r>
      <w:r w:rsidRPr="008E784C">
        <w:rPr>
          <w:b/>
          <w:bCs/>
        </w:rPr>
        <w:t xml:space="preserve"> </w:t>
      </w:r>
      <w:r>
        <w:rPr>
          <w:b/>
          <w:bCs/>
        </w:rPr>
        <w:t>in co-located deployments.</w:t>
      </w:r>
    </w:p>
    <w:p w14:paraId="6372DB1B" w14:textId="77777777" w:rsidR="00612B30" w:rsidRDefault="00612B30" w:rsidP="00612B30">
      <w:r>
        <w:rPr>
          <w:b/>
          <w:bCs/>
        </w:rPr>
        <w:t xml:space="preserve">Proposal 2: Send LS to RAN4 for feedback on feasibility of adjacent channel coexistence in outdoor non-collocated deployments with AAS and non-AAS </w:t>
      </w:r>
      <w:proofErr w:type="spellStart"/>
      <w:r>
        <w:rPr>
          <w:b/>
          <w:bCs/>
        </w:rPr>
        <w:t>gNBs</w:t>
      </w:r>
      <w:proofErr w:type="spellEnd"/>
      <w:r>
        <w:rPr>
          <w:b/>
          <w:bCs/>
        </w:rPr>
        <w:t>.</w:t>
      </w:r>
    </w:p>
    <w:p w14:paraId="4C1F99BD" w14:textId="77777777" w:rsidR="00612B30" w:rsidRPr="00EA194D" w:rsidRDefault="00612B30" w:rsidP="00612B30">
      <w:pPr>
        <w:rPr>
          <w:b/>
          <w:bCs/>
        </w:rPr>
      </w:pPr>
      <w:r>
        <w:rPr>
          <w:b/>
          <w:bCs/>
        </w:rPr>
        <w:t xml:space="preserve">Proposal 3: For SBFD system level evaluations, the </w:t>
      </w:r>
      <w:proofErr w:type="spellStart"/>
      <w:r>
        <w:rPr>
          <w:b/>
          <w:bCs/>
        </w:rPr>
        <w:t>gNB</w:t>
      </w:r>
      <w:proofErr w:type="spellEnd"/>
      <w:r>
        <w:rPr>
          <w:b/>
          <w:bCs/>
        </w:rPr>
        <w:t xml:space="preserve"> emissions on the uplink sub-band can assume the same performance as for adjacent channel, </w:t>
      </w:r>
      <w:proofErr w:type="gramStart"/>
      <w:r>
        <w:rPr>
          <w:b/>
          <w:bCs/>
        </w:rPr>
        <w:t>i.e.</w:t>
      </w:r>
      <w:proofErr w:type="gramEnd"/>
      <w:r>
        <w:rPr>
          <w:b/>
          <w:bCs/>
        </w:rPr>
        <w:t xml:space="preserve"> use ACLR as the starting point.</w:t>
      </w:r>
    </w:p>
    <w:p w14:paraId="32B1B5C1" w14:textId="77777777" w:rsidR="00612B30" w:rsidRPr="00C90A3B" w:rsidRDefault="00612B30" w:rsidP="00612B30">
      <w:pPr>
        <w:rPr>
          <w:b/>
          <w:bCs/>
        </w:rPr>
      </w:pPr>
      <w:r>
        <w:rPr>
          <w:b/>
          <w:bCs/>
        </w:rPr>
        <w:t xml:space="preserve">Proposal 4: Use the minimum </w:t>
      </w:r>
      <w:proofErr w:type="spellStart"/>
      <w:r>
        <w:rPr>
          <w:b/>
          <w:bCs/>
        </w:rPr>
        <w:t>guardband</w:t>
      </w:r>
      <w:proofErr w:type="spellEnd"/>
      <w:r>
        <w:rPr>
          <w:b/>
          <w:bCs/>
        </w:rPr>
        <w:t xml:space="preserve"> values from 3GPP TS 38.104 clause 5.3.3 between SBFD DL and UL allocations as a starting point in system level evaluations.</w:t>
      </w:r>
    </w:p>
    <w:p w14:paraId="697D7C48" w14:textId="77777777" w:rsidR="00612B30" w:rsidRPr="00CA5340" w:rsidRDefault="00612B30" w:rsidP="00612B30">
      <w:r>
        <w:rPr>
          <w:b/>
          <w:bCs/>
        </w:rPr>
        <w:t>Proposal 5: As a starting point in SBFD system level evaluations, use the adjacent channel selectivity performance for in-channel selectivity.</w:t>
      </w:r>
    </w:p>
    <w:p w14:paraId="7CA5AEC8" w14:textId="77777777" w:rsidR="00612B30" w:rsidRDefault="00612B30" w:rsidP="00612B30">
      <w:r>
        <w:rPr>
          <w:b/>
          <w:bCs/>
        </w:rPr>
        <w:t xml:space="preserve">Proposal 6: Send LS to RAN4 and ask feedback on </w:t>
      </w:r>
      <w:proofErr w:type="spellStart"/>
      <w:r>
        <w:rPr>
          <w:b/>
          <w:bCs/>
        </w:rPr>
        <w:t>gNB</w:t>
      </w:r>
      <w:proofErr w:type="spellEnd"/>
      <w:r>
        <w:rPr>
          <w:b/>
          <w:bCs/>
        </w:rPr>
        <w:t xml:space="preserve"> in-channel emissions (including guard band between DL and UL), in-channel selectivity performance, and achievable self-interference cancellation performance, to be used in system level evaluations.</w:t>
      </w:r>
    </w:p>
    <w:p w14:paraId="373F749B" w14:textId="77777777" w:rsidR="00612B30" w:rsidRPr="00590F0C" w:rsidRDefault="00612B30" w:rsidP="00612B30">
      <w:r>
        <w:rPr>
          <w:b/>
          <w:bCs/>
        </w:rPr>
        <w:t>Proposal 7: Send LS to RAN4 to ask for assumptions for UE in-channel selectivity performance to be used in SBFD system level evaluations.</w:t>
      </w:r>
      <w:r>
        <w:t xml:space="preserve"> </w:t>
      </w:r>
    </w:p>
    <w:p w14:paraId="265AE9B3" w14:textId="7A60FAEB" w:rsidR="00612B30" w:rsidRDefault="00612B30" w:rsidP="002B609D">
      <w:r>
        <w:t>RAN1 is asked to discuss and agree the proposals.</w:t>
      </w:r>
    </w:p>
    <w:p w14:paraId="50ADD849" w14:textId="77777777" w:rsidR="00612B30" w:rsidRPr="002B609D" w:rsidRDefault="00612B30" w:rsidP="002B609D"/>
    <w:p w14:paraId="53CD9119" w14:textId="5206E1F5" w:rsidR="00885580" w:rsidRDefault="00885580" w:rsidP="00885580">
      <w:pPr>
        <w:pStyle w:val="Heading1"/>
        <w:numPr>
          <w:ilvl w:val="0"/>
          <w:numId w:val="0"/>
        </w:numPr>
      </w:pPr>
      <w:r>
        <w:t>References</w:t>
      </w:r>
    </w:p>
    <w:p w14:paraId="3D995112" w14:textId="49C289C4" w:rsidR="0099307C" w:rsidRDefault="0099307C" w:rsidP="002B609D">
      <w:pPr>
        <w:pStyle w:val="ListParagraph"/>
        <w:numPr>
          <w:ilvl w:val="0"/>
          <w:numId w:val="27"/>
        </w:numPr>
        <w:rPr>
          <w:lang w:val="en-US"/>
        </w:rPr>
      </w:pPr>
      <w:r w:rsidRPr="002D0FDB">
        <w:rPr>
          <w:sz w:val="20"/>
          <w:szCs w:val="20"/>
          <w:lang w:val="en-US"/>
        </w:rPr>
        <w:tab/>
      </w:r>
      <w:r w:rsidR="002D0FDB" w:rsidRPr="002D0FDB">
        <w:rPr>
          <w:sz w:val="20"/>
          <w:szCs w:val="20"/>
          <w:lang w:val="en-US"/>
        </w:rPr>
        <w:t>RP-220633, Study on Evolution of N</w:t>
      </w:r>
      <w:r w:rsidR="002D0FDB">
        <w:rPr>
          <w:sz w:val="20"/>
          <w:szCs w:val="20"/>
          <w:lang w:val="en-US"/>
        </w:rPr>
        <w:t>R Duplex Operation, CMCC</w:t>
      </w:r>
    </w:p>
    <w:sectPr w:rsidR="0099307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7E5DF" w14:textId="77777777" w:rsidR="000751AA" w:rsidRDefault="000751AA">
      <w:r>
        <w:separator/>
      </w:r>
    </w:p>
  </w:endnote>
  <w:endnote w:type="continuationSeparator" w:id="0">
    <w:p w14:paraId="7BCA35D8" w14:textId="77777777" w:rsidR="000751AA" w:rsidRDefault="000751AA">
      <w:r>
        <w:continuationSeparator/>
      </w:r>
    </w:p>
  </w:endnote>
  <w:endnote w:type="continuationNotice" w:id="1">
    <w:p w14:paraId="3E5D4581" w14:textId="77777777" w:rsidR="000751AA" w:rsidRDefault="000751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6A8FE" w14:textId="77777777" w:rsidR="000751AA" w:rsidRDefault="000751AA">
      <w:r>
        <w:separator/>
      </w:r>
    </w:p>
  </w:footnote>
  <w:footnote w:type="continuationSeparator" w:id="0">
    <w:p w14:paraId="7DA1918F" w14:textId="77777777" w:rsidR="000751AA" w:rsidRDefault="000751AA">
      <w:r>
        <w:continuationSeparator/>
      </w:r>
    </w:p>
  </w:footnote>
  <w:footnote w:type="continuationNotice" w:id="1">
    <w:p w14:paraId="2FF5804A" w14:textId="77777777" w:rsidR="000751AA" w:rsidRDefault="000751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55EC4"/>
    <w:multiLevelType w:val="multilevel"/>
    <w:tmpl w:val="AD343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680B73"/>
    <w:multiLevelType w:val="multilevel"/>
    <w:tmpl w:val="B4247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8CC7262"/>
    <w:multiLevelType w:val="multilevel"/>
    <w:tmpl w:val="C8920C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696BE5"/>
    <w:multiLevelType w:val="multilevel"/>
    <w:tmpl w:val="16C03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6" w15:restartNumberingAfterBreak="0">
    <w:nsid w:val="5DA721A2"/>
    <w:multiLevelType w:val="multilevel"/>
    <w:tmpl w:val="DB8662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8"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D01F86"/>
    <w:multiLevelType w:val="multilevel"/>
    <w:tmpl w:val="154E9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34"/>
  </w:num>
  <w:num w:numId="3">
    <w:abstractNumId w:val="0"/>
  </w:num>
  <w:num w:numId="4">
    <w:abstractNumId w:val="3"/>
  </w:num>
  <w:num w:numId="5">
    <w:abstractNumId w:val="17"/>
  </w:num>
  <w:num w:numId="6">
    <w:abstractNumId w:val="37"/>
  </w:num>
  <w:num w:numId="7">
    <w:abstractNumId w:val="20"/>
  </w:num>
  <w:num w:numId="8">
    <w:abstractNumId w:val="16"/>
  </w:num>
  <w:num w:numId="9">
    <w:abstractNumId w:val="41"/>
  </w:num>
  <w:num w:numId="10">
    <w:abstractNumId w:val="5"/>
  </w:num>
  <w:num w:numId="11">
    <w:abstractNumId w:val="23"/>
  </w:num>
  <w:num w:numId="12">
    <w:abstractNumId w:val="4"/>
  </w:num>
  <w:num w:numId="13">
    <w:abstractNumId w:val="14"/>
  </w:num>
  <w:num w:numId="14">
    <w:abstractNumId w:val="29"/>
  </w:num>
  <w:num w:numId="15">
    <w:abstractNumId w:val="18"/>
  </w:num>
  <w:num w:numId="16">
    <w:abstractNumId w:val="1"/>
  </w:num>
  <w:num w:numId="17">
    <w:abstractNumId w:val="27"/>
  </w:num>
  <w:num w:numId="18">
    <w:abstractNumId w:val="15"/>
  </w:num>
  <w:num w:numId="19">
    <w:abstractNumId w:val="21"/>
  </w:num>
  <w:num w:numId="20">
    <w:abstractNumId w:val="40"/>
  </w:num>
  <w:num w:numId="21">
    <w:abstractNumId w:val="44"/>
  </w:num>
  <w:num w:numId="22">
    <w:abstractNumId w:val="26"/>
  </w:num>
  <w:num w:numId="23">
    <w:abstractNumId w:val="13"/>
  </w:num>
  <w:num w:numId="24">
    <w:abstractNumId w:val="6"/>
  </w:num>
  <w:num w:numId="25">
    <w:abstractNumId w:val="39"/>
  </w:num>
  <w:num w:numId="26">
    <w:abstractNumId w:val="33"/>
  </w:num>
  <w:num w:numId="27">
    <w:abstractNumId w:val="10"/>
  </w:num>
  <w:num w:numId="28">
    <w:abstractNumId w:val="9"/>
  </w:num>
  <w:num w:numId="29">
    <w:abstractNumId w:val="28"/>
  </w:num>
  <w:num w:numId="30">
    <w:abstractNumId w:val="42"/>
  </w:num>
  <w:num w:numId="31">
    <w:abstractNumId w:val="11"/>
  </w:num>
  <w:num w:numId="32">
    <w:abstractNumId w:val="31"/>
  </w:num>
  <w:num w:numId="33">
    <w:abstractNumId w:val="22"/>
  </w:num>
  <w:num w:numId="34">
    <w:abstractNumId w:val="38"/>
  </w:num>
  <w:num w:numId="35">
    <w:abstractNumId w:val="30"/>
  </w:num>
  <w:num w:numId="36">
    <w:abstractNumId w:val="24"/>
  </w:num>
  <w:num w:numId="37">
    <w:abstractNumId w:val="36"/>
  </w:num>
  <w:num w:numId="38">
    <w:abstractNumId w:val="43"/>
  </w:num>
  <w:num w:numId="39">
    <w:abstractNumId w:val="2"/>
  </w:num>
  <w:num w:numId="40">
    <w:abstractNumId w:val="25"/>
  </w:num>
  <w:num w:numId="41">
    <w:abstractNumId w:val="32"/>
  </w:num>
  <w:num w:numId="42">
    <w:abstractNumId w:val="8"/>
  </w:num>
  <w:num w:numId="43">
    <w:abstractNumId w:val="12"/>
  </w:num>
  <w:num w:numId="44">
    <w:abstractNumId w:val="35"/>
  </w:num>
  <w:num w:numId="45">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937"/>
    <w:rsid w:val="00005EF5"/>
    <w:rsid w:val="00006055"/>
    <w:rsid w:val="00006AD4"/>
    <w:rsid w:val="00006CB9"/>
    <w:rsid w:val="000074C4"/>
    <w:rsid w:val="000079A6"/>
    <w:rsid w:val="00010E2C"/>
    <w:rsid w:val="00011409"/>
    <w:rsid w:val="00011BB2"/>
    <w:rsid w:val="00012505"/>
    <w:rsid w:val="00012685"/>
    <w:rsid w:val="00012C4F"/>
    <w:rsid w:val="000131D1"/>
    <w:rsid w:val="00013455"/>
    <w:rsid w:val="000134E3"/>
    <w:rsid w:val="00013632"/>
    <w:rsid w:val="00013F5E"/>
    <w:rsid w:val="0001403F"/>
    <w:rsid w:val="0001487F"/>
    <w:rsid w:val="00014F28"/>
    <w:rsid w:val="00014F35"/>
    <w:rsid w:val="00015F98"/>
    <w:rsid w:val="000166AC"/>
    <w:rsid w:val="00016B06"/>
    <w:rsid w:val="00017B7F"/>
    <w:rsid w:val="00017EDA"/>
    <w:rsid w:val="000212A5"/>
    <w:rsid w:val="00022A52"/>
    <w:rsid w:val="00022B8C"/>
    <w:rsid w:val="00023742"/>
    <w:rsid w:val="00024AEF"/>
    <w:rsid w:val="00026C65"/>
    <w:rsid w:val="00026D13"/>
    <w:rsid w:val="00027444"/>
    <w:rsid w:val="00027755"/>
    <w:rsid w:val="000277D3"/>
    <w:rsid w:val="00027864"/>
    <w:rsid w:val="0002789E"/>
    <w:rsid w:val="00030048"/>
    <w:rsid w:val="000304F3"/>
    <w:rsid w:val="0003072D"/>
    <w:rsid w:val="000314CD"/>
    <w:rsid w:val="0003332B"/>
    <w:rsid w:val="00033544"/>
    <w:rsid w:val="0003439A"/>
    <w:rsid w:val="000344DC"/>
    <w:rsid w:val="0003479E"/>
    <w:rsid w:val="00035691"/>
    <w:rsid w:val="0003767C"/>
    <w:rsid w:val="000400E8"/>
    <w:rsid w:val="00040F4F"/>
    <w:rsid w:val="0004132D"/>
    <w:rsid w:val="00041C9D"/>
    <w:rsid w:val="00041F4D"/>
    <w:rsid w:val="00044CFA"/>
    <w:rsid w:val="00044F0C"/>
    <w:rsid w:val="000459C7"/>
    <w:rsid w:val="000461C4"/>
    <w:rsid w:val="00046630"/>
    <w:rsid w:val="00046C50"/>
    <w:rsid w:val="00046C80"/>
    <w:rsid w:val="0004743C"/>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184"/>
    <w:rsid w:val="00063D9E"/>
    <w:rsid w:val="00064486"/>
    <w:rsid w:val="00064AD3"/>
    <w:rsid w:val="00065088"/>
    <w:rsid w:val="000652D3"/>
    <w:rsid w:val="000654A0"/>
    <w:rsid w:val="00065E94"/>
    <w:rsid w:val="00066719"/>
    <w:rsid w:val="00067425"/>
    <w:rsid w:val="000701AD"/>
    <w:rsid w:val="000707CA"/>
    <w:rsid w:val="00070D21"/>
    <w:rsid w:val="000717FB"/>
    <w:rsid w:val="000719BF"/>
    <w:rsid w:val="0007208A"/>
    <w:rsid w:val="0007213C"/>
    <w:rsid w:val="00072BBA"/>
    <w:rsid w:val="00072CF5"/>
    <w:rsid w:val="00072FAA"/>
    <w:rsid w:val="00072FF5"/>
    <w:rsid w:val="000730DC"/>
    <w:rsid w:val="00073652"/>
    <w:rsid w:val="000751AA"/>
    <w:rsid w:val="00075965"/>
    <w:rsid w:val="00075FDA"/>
    <w:rsid w:val="00076386"/>
    <w:rsid w:val="00076D82"/>
    <w:rsid w:val="00081EC2"/>
    <w:rsid w:val="00082154"/>
    <w:rsid w:val="00083800"/>
    <w:rsid w:val="00084A65"/>
    <w:rsid w:val="0008559A"/>
    <w:rsid w:val="00086D59"/>
    <w:rsid w:val="000902C2"/>
    <w:rsid w:val="00091A92"/>
    <w:rsid w:val="000931C3"/>
    <w:rsid w:val="00093C49"/>
    <w:rsid w:val="00095A80"/>
    <w:rsid w:val="000973E1"/>
    <w:rsid w:val="000A06DC"/>
    <w:rsid w:val="000A0DC0"/>
    <w:rsid w:val="000A1402"/>
    <w:rsid w:val="000A20BA"/>
    <w:rsid w:val="000A262C"/>
    <w:rsid w:val="000A34B2"/>
    <w:rsid w:val="000A3C8D"/>
    <w:rsid w:val="000A3DFE"/>
    <w:rsid w:val="000A40EC"/>
    <w:rsid w:val="000A4155"/>
    <w:rsid w:val="000A5299"/>
    <w:rsid w:val="000A54EE"/>
    <w:rsid w:val="000A6A23"/>
    <w:rsid w:val="000A7BC5"/>
    <w:rsid w:val="000B0C45"/>
    <w:rsid w:val="000B13E1"/>
    <w:rsid w:val="000B16DB"/>
    <w:rsid w:val="000B1766"/>
    <w:rsid w:val="000B1C5E"/>
    <w:rsid w:val="000B1CC9"/>
    <w:rsid w:val="000B2282"/>
    <w:rsid w:val="000B27E9"/>
    <w:rsid w:val="000B2A11"/>
    <w:rsid w:val="000B2A5B"/>
    <w:rsid w:val="000B2F09"/>
    <w:rsid w:val="000B3B91"/>
    <w:rsid w:val="000B4207"/>
    <w:rsid w:val="000B4B1B"/>
    <w:rsid w:val="000B50C3"/>
    <w:rsid w:val="000B5AC9"/>
    <w:rsid w:val="000B5F0A"/>
    <w:rsid w:val="000B6D65"/>
    <w:rsid w:val="000B743C"/>
    <w:rsid w:val="000B7448"/>
    <w:rsid w:val="000B7C5D"/>
    <w:rsid w:val="000C1431"/>
    <w:rsid w:val="000C1D59"/>
    <w:rsid w:val="000C2B09"/>
    <w:rsid w:val="000C30CF"/>
    <w:rsid w:val="000C501D"/>
    <w:rsid w:val="000C5B5B"/>
    <w:rsid w:val="000C5CBA"/>
    <w:rsid w:val="000C5E96"/>
    <w:rsid w:val="000C6619"/>
    <w:rsid w:val="000C74BA"/>
    <w:rsid w:val="000C7531"/>
    <w:rsid w:val="000C7BA7"/>
    <w:rsid w:val="000C7C3F"/>
    <w:rsid w:val="000C7C9B"/>
    <w:rsid w:val="000D01AC"/>
    <w:rsid w:val="000D0BD6"/>
    <w:rsid w:val="000D0C61"/>
    <w:rsid w:val="000D13ED"/>
    <w:rsid w:val="000D1440"/>
    <w:rsid w:val="000D27AD"/>
    <w:rsid w:val="000D29D1"/>
    <w:rsid w:val="000D2B0A"/>
    <w:rsid w:val="000D2FD1"/>
    <w:rsid w:val="000D3286"/>
    <w:rsid w:val="000D344D"/>
    <w:rsid w:val="000D3AA8"/>
    <w:rsid w:val="000D40E7"/>
    <w:rsid w:val="000D5100"/>
    <w:rsid w:val="000D57BB"/>
    <w:rsid w:val="000D584F"/>
    <w:rsid w:val="000D76BC"/>
    <w:rsid w:val="000D7750"/>
    <w:rsid w:val="000E071E"/>
    <w:rsid w:val="000E0DEE"/>
    <w:rsid w:val="000E181D"/>
    <w:rsid w:val="000E27AA"/>
    <w:rsid w:val="000E2866"/>
    <w:rsid w:val="000E337A"/>
    <w:rsid w:val="000E34FD"/>
    <w:rsid w:val="000E4350"/>
    <w:rsid w:val="000E4376"/>
    <w:rsid w:val="000E4408"/>
    <w:rsid w:val="000E4DC9"/>
    <w:rsid w:val="000E53AB"/>
    <w:rsid w:val="000E5716"/>
    <w:rsid w:val="000E6337"/>
    <w:rsid w:val="000E7A79"/>
    <w:rsid w:val="000F144C"/>
    <w:rsid w:val="000F15B2"/>
    <w:rsid w:val="000F1917"/>
    <w:rsid w:val="000F19DE"/>
    <w:rsid w:val="000F2E1F"/>
    <w:rsid w:val="000F37B0"/>
    <w:rsid w:val="000F4595"/>
    <w:rsid w:val="000F4CB2"/>
    <w:rsid w:val="000F4E44"/>
    <w:rsid w:val="000F4E90"/>
    <w:rsid w:val="000F568D"/>
    <w:rsid w:val="000F57B2"/>
    <w:rsid w:val="000F68D0"/>
    <w:rsid w:val="000F6B15"/>
    <w:rsid w:val="000F6C6D"/>
    <w:rsid w:val="000F75C3"/>
    <w:rsid w:val="000F77F1"/>
    <w:rsid w:val="0010170B"/>
    <w:rsid w:val="00101C4F"/>
    <w:rsid w:val="00102C9F"/>
    <w:rsid w:val="00103FC9"/>
    <w:rsid w:val="001059A4"/>
    <w:rsid w:val="001068D2"/>
    <w:rsid w:val="001069F2"/>
    <w:rsid w:val="001103BD"/>
    <w:rsid w:val="00111208"/>
    <w:rsid w:val="001115E4"/>
    <w:rsid w:val="00111808"/>
    <w:rsid w:val="00111B5B"/>
    <w:rsid w:val="00112220"/>
    <w:rsid w:val="0011225F"/>
    <w:rsid w:val="0011249A"/>
    <w:rsid w:val="0011339F"/>
    <w:rsid w:val="00113B8F"/>
    <w:rsid w:val="00113EC8"/>
    <w:rsid w:val="00114E96"/>
    <w:rsid w:val="001150CE"/>
    <w:rsid w:val="001152C7"/>
    <w:rsid w:val="00115323"/>
    <w:rsid w:val="00115C88"/>
    <w:rsid w:val="0011644A"/>
    <w:rsid w:val="00117332"/>
    <w:rsid w:val="0011784B"/>
    <w:rsid w:val="00117C1E"/>
    <w:rsid w:val="001204DD"/>
    <w:rsid w:val="00122795"/>
    <w:rsid w:val="00122839"/>
    <w:rsid w:val="0012328D"/>
    <w:rsid w:val="001237AC"/>
    <w:rsid w:val="00124E12"/>
    <w:rsid w:val="00124E75"/>
    <w:rsid w:val="0012673D"/>
    <w:rsid w:val="001269B8"/>
    <w:rsid w:val="00127099"/>
    <w:rsid w:val="00127B28"/>
    <w:rsid w:val="00130966"/>
    <w:rsid w:val="00130BBB"/>
    <w:rsid w:val="00130DE9"/>
    <w:rsid w:val="00131EF2"/>
    <w:rsid w:val="00132830"/>
    <w:rsid w:val="00132B71"/>
    <w:rsid w:val="001337A5"/>
    <w:rsid w:val="00133DD9"/>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0EB"/>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810"/>
    <w:rsid w:val="00164E58"/>
    <w:rsid w:val="00164F24"/>
    <w:rsid w:val="00165033"/>
    <w:rsid w:val="00165926"/>
    <w:rsid w:val="001665EB"/>
    <w:rsid w:val="001670EA"/>
    <w:rsid w:val="001674A0"/>
    <w:rsid w:val="00167AAF"/>
    <w:rsid w:val="00170A50"/>
    <w:rsid w:val="00170CAF"/>
    <w:rsid w:val="00174468"/>
    <w:rsid w:val="00174FFD"/>
    <w:rsid w:val="001759CA"/>
    <w:rsid w:val="001759F4"/>
    <w:rsid w:val="00175E93"/>
    <w:rsid w:val="001769D0"/>
    <w:rsid w:val="0017726A"/>
    <w:rsid w:val="00177DD3"/>
    <w:rsid w:val="00180278"/>
    <w:rsid w:val="001803C1"/>
    <w:rsid w:val="001807F2"/>
    <w:rsid w:val="001818A7"/>
    <w:rsid w:val="0018215D"/>
    <w:rsid w:val="00182725"/>
    <w:rsid w:val="001829C8"/>
    <w:rsid w:val="00182B8A"/>
    <w:rsid w:val="00186242"/>
    <w:rsid w:val="00186904"/>
    <w:rsid w:val="00186B0A"/>
    <w:rsid w:val="001905BD"/>
    <w:rsid w:val="00190AE9"/>
    <w:rsid w:val="0019143B"/>
    <w:rsid w:val="00191E79"/>
    <w:rsid w:val="00192FE6"/>
    <w:rsid w:val="00193487"/>
    <w:rsid w:val="0019360B"/>
    <w:rsid w:val="00193986"/>
    <w:rsid w:val="00193B08"/>
    <w:rsid w:val="00193DFB"/>
    <w:rsid w:val="00194570"/>
    <w:rsid w:val="00194704"/>
    <w:rsid w:val="00195DF5"/>
    <w:rsid w:val="00196B7E"/>
    <w:rsid w:val="00196BF4"/>
    <w:rsid w:val="001972DA"/>
    <w:rsid w:val="001976AA"/>
    <w:rsid w:val="001A02F6"/>
    <w:rsid w:val="001A0B27"/>
    <w:rsid w:val="001A15C6"/>
    <w:rsid w:val="001A386A"/>
    <w:rsid w:val="001A46BD"/>
    <w:rsid w:val="001A4F97"/>
    <w:rsid w:val="001A5510"/>
    <w:rsid w:val="001A56AD"/>
    <w:rsid w:val="001A5C65"/>
    <w:rsid w:val="001A5C7B"/>
    <w:rsid w:val="001A5E19"/>
    <w:rsid w:val="001A63D8"/>
    <w:rsid w:val="001A74A2"/>
    <w:rsid w:val="001B01FA"/>
    <w:rsid w:val="001B0832"/>
    <w:rsid w:val="001B18A7"/>
    <w:rsid w:val="001B1A6B"/>
    <w:rsid w:val="001B2762"/>
    <w:rsid w:val="001B36FC"/>
    <w:rsid w:val="001B38EE"/>
    <w:rsid w:val="001B41ED"/>
    <w:rsid w:val="001B4607"/>
    <w:rsid w:val="001B57A2"/>
    <w:rsid w:val="001B736A"/>
    <w:rsid w:val="001B7E0C"/>
    <w:rsid w:val="001C0088"/>
    <w:rsid w:val="001C0674"/>
    <w:rsid w:val="001C08B0"/>
    <w:rsid w:val="001C1405"/>
    <w:rsid w:val="001C1B93"/>
    <w:rsid w:val="001C226F"/>
    <w:rsid w:val="001C2D94"/>
    <w:rsid w:val="001C5296"/>
    <w:rsid w:val="001C66AC"/>
    <w:rsid w:val="001C6754"/>
    <w:rsid w:val="001C761D"/>
    <w:rsid w:val="001C77F0"/>
    <w:rsid w:val="001D135C"/>
    <w:rsid w:val="001D208E"/>
    <w:rsid w:val="001D303A"/>
    <w:rsid w:val="001D30C9"/>
    <w:rsid w:val="001D445B"/>
    <w:rsid w:val="001D46A0"/>
    <w:rsid w:val="001D50C2"/>
    <w:rsid w:val="001D5E37"/>
    <w:rsid w:val="001D753C"/>
    <w:rsid w:val="001D7C02"/>
    <w:rsid w:val="001D7CA4"/>
    <w:rsid w:val="001D7E58"/>
    <w:rsid w:val="001E0425"/>
    <w:rsid w:val="001E058F"/>
    <w:rsid w:val="001E13B3"/>
    <w:rsid w:val="001E2952"/>
    <w:rsid w:val="001E30A0"/>
    <w:rsid w:val="001E38AF"/>
    <w:rsid w:val="001E3DE1"/>
    <w:rsid w:val="001E4D4F"/>
    <w:rsid w:val="001E54F9"/>
    <w:rsid w:val="001E57CF"/>
    <w:rsid w:val="001E5981"/>
    <w:rsid w:val="001E6826"/>
    <w:rsid w:val="001E6E8E"/>
    <w:rsid w:val="001E71CD"/>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4183"/>
    <w:rsid w:val="00204A2A"/>
    <w:rsid w:val="00204B22"/>
    <w:rsid w:val="00204B3A"/>
    <w:rsid w:val="0020535A"/>
    <w:rsid w:val="002055CB"/>
    <w:rsid w:val="002059EF"/>
    <w:rsid w:val="00205A4B"/>
    <w:rsid w:val="00205BDB"/>
    <w:rsid w:val="00206955"/>
    <w:rsid w:val="00206A79"/>
    <w:rsid w:val="00210309"/>
    <w:rsid w:val="00210C4F"/>
    <w:rsid w:val="00210C67"/>
    <w:rsid w:val="00211519"/>
    <w:rsid w:val="0021224B"/>
    <w:rsid w:val="00212373"/>
    <w:rsid w:val="00212950"/>
    <w:rsid w:val="00212FB8"/>
    <w:rsid w:val="00213709"/>
    <w:rsid w:val="002149AF"/>
    <w:rsid w:val="00214A86"/>
    <w:rsid w:val="00215AAA"/>
    <w:rsid w:val="0021683C"/>
    <w:rsid w:val="00216F5F"/>
    <w:rsid w:val="00220615"/>
    <w:rsid w:val="00220A33"/>
    <w:rsid w:val="00221985"/>
    <w:rsid w:val="00221EC5"/>
    <w:rsid w:val="00222A7A"/>
    <w:rsid w:val="00224A2C"/>
    <w:rsid w:val="00225217"/>
    <w:rsid w:val="002256D9"/>
    <w:rsid w:val="00225800"/>
    <w:rsid w:val="00226577"/>
    <w:rsid w:val="0022687C"/>
    <w:rsid w:val="002306F8"/>
    <w:rsid w:val="00230BB8"/>
    <w:rsid w:val="002312F4"/>
    <w:rsid w:val="002313A2"/>
    <w:rsid w:val="00231545"/>
    <w:rsid w:val="00231FC7"/>
    <w:rsid w:val="00232930"/>
    <w:rsid w:val="00232A95"/>
    <w:rsid w:val="00232C3F"/>
    <w:rsid w:val="00232D2D"/>
    <w:rsid w:val="00232DD9"/>
    <w:rsid w:val="0023308F"/>
    <w:rsid w:val="00233403"/>
    <w:rsid w:val="00233440"/>
    <w:rsid w:val="00233D0E"/>
    <w:rsid w:val="00233EA0"/>
    <w:rsid w:val="00234E13"/>
    <w:rsid w:val="00236450"/>
    <w:rsid w:val="00236D05"/>
    <w:rsid w:val="0023765A"/>
    <w:rsid w:val="00237921"/>
    <w:rsid w:val="00240342"/>
    <w:rsid w:val="00241311"/>
    <w:rsid w:val="00241590"/>
    <w:rsid w:val="002418E8"/>
    <w:rsid w:val="00242E22"/>
    <w:rsid w:val="0024336B"/>
    <w:rsid w:val="00244194"/>
    <w:rsid w:val="0024424F"/>
    <w:rsid w:val="00244D28"/>
    <w:rsid w:val="00245689"/>
    <w:rsid w:val="00245720"/>
    <w:rsid w:val="00245A6F"/>
    <w:rsid w:val="00245FD5"/>
    <w:rsid w:val="00246A4E"/>
    <w:rsid w:val="002477DF"/>
    <w:rsid w:val="0024797D"/>
    <w:rsid w:val="00251AD6"/>
    <w:rsid w:val="00252C17"/>
    <w:rsid w:val="00253019"/>
    <w:rsid w:val="0025307F"/>
    <w:rsid w:val="00253FEA"/>
    <w:rsid w:val="00254C3B"/>
    <w:rsid w:val="002551BD"/>
    <w:rsid w:val="002568D0"/>
    <w:rsid w:val="00257FA5"/>
    <w:rsid w:val="00260AEE"/>
    <w:rsid w:val="00260CF4"/>
    <w:rsid w:val="00261167"/>
    <w:rsid w:val="002621A6"/>
    <w:rsid w:val="00262323"/>
    <w:rsid w:val="0026244E"/>
    <w:rsid w:val="00262661"/>
    <w:rsid w:val="00262D9D"/>
    <w:rsid w:val="002632DF"/>
    <w:rsid w:val="00263946"/>
    <w:rsid w:val="002640BA"/>
    <w:rsid w:val="00264CF2"/>
    <w:rsid w:val="002667A8"/>
    <w:rsid w:val="00267587"/>
    <w:rsid w:val="002675C8"/>
    <w:rsid w:val="00267760"/>
    <w:rsid w:val="00271589"/>
    <w:rsid w:val="00271594"/>
    <w:rsid w:val="00273177"/>
    <w:rsid w:val="0027455B"/>
    <w:rsid w:val="00275074"/>
    <w:rsid w:val="002763E9"/>
    <w:rsid w:val="00276736"/>
    <w:rsid w:val="0027679E"/>
    <w:rsid w:val="00276D21"/>
    <w:rsid w:val="00276F4E"/>
    <w:rsid w:val="0027773D"/>
    <w:rsid w:val="002778BD"/>
    <w:rsid w:val="0028087E"/>
    <w:rsid w:val="002815FA"/>
    <w:rsid w:val="002824C2"/>
    <w:rsid w:val="00284E32"/>
    <w:rsid w:val="002851EB"/>
    <w:rsid w:val="00285510"/>
    <w:rsid w:val="00285BD1"/>
    <w:rsid w:val="00285DE2"/>
    <w:rsid w:val="00286136"/>
    <w:rsid w:val="0028616D"/>
    <w:rsid w:val="00286253"/>
    <w:rsid w:val="002864FF"/>
    <w:rsid w:val="00286965"/>
    <w:rsid w:val="0029136E"/>
    <w:rsid w:val="00292399"/>
    <w:rsid w:val="002927CC"/>
    <w:rsid w:val="00294445"/>
    <w:rsid w:val="00294B4D"/>
    <w:rsid w:val="0029537E"/>
    <w:rsid w:val="00295B44"/>
    <w:rsid w:val="002960D5"/>
    <w:rsid w:val="00297926"/>
    <w:rsid w:val="002A0026"/>
    <w:rsid w:val="002A02C9"/>
    <w:rsid w:val="002A0FC5"/>
    <w:rsid w:val="002A1062"/>
    <w:rsid w:val="002A2012"/>
    <w:rsid w:val="002A2413"/>
    <w:rsid w:val="002A2F5E"/>
    <w:rsid w:val="002A352A"/>
    <w:rsid w:val="002A5868"/>
    <w:rsid w:val="002A607D"/>
    <w:rsid w:val="002A60D2"/>
    <w:rsid w:val="002B015F"/>
    <w:rsid w:val="002B132E"/>
    <w:rsid w:val="002B13CB"/>
    <w:rsid w:val="002B1499"/>
    <w:rsid w:val="002B2813"/>
    <w:rsid w:val="002B2D29"/>
    <w:rsid w:val="002B37EA"/>
    <w:rsid w:val="002B3B31"/>
    <w:rsid w:val="002B3BBD"/>
    <w:rsid w:val="002B609D"/>
    <w:rsid w:val="002C0C4B"/>
    <w:rsid w:val="002C1E9F"/>
    <w:rsid w:val="002C1EEA"/>
    <w:rsid w:val="002C3BE8"/>
    <w:rsid w:val="002C41D4"/>
    <w:rsid w:val="002C47AD"/>
    <w:rsid w:val="002C5510"/>
    <w:rsid w:val="002C56D6"/>
    <w:rsid w:val="002C6034"/>
    <w:rsid w:val="002C635B"/>
    <w:rsid w:val="002C7276"/>
    <w:rsid w:val="002C770F"/>
    <w:rsid w:val="002C7CFF"/>
    <w:rsid w:val="002D0BC6"/>
    <w:rsid w:val="002D0FDB"/>
    <w:rsid w:val="002D12DB"/>
    <w:rsid w:val="002D17C5"/>
    <w:rsid w:val="002D2C40"/>
    <w:rsid w:val="002D365F"/>
    <w:rsid w:val="002D37D5"/>
    <w:rsid w:val="002D4332"/>
    <w:rsid w:val="002D4FBB"/>
    <w:rsid w:val="002D51DF"/>
    <w:rsid w:val="002D6892"/>
    <w:rsid w:val="002D68C2"/>
    <w:rsid w:val="002D7C86"/>
    <w:rsid w:val="002E0058"/>
    <w:rsid w:val="002E0692"/>
    <w:rsid w:val="002E152D"/>
    <w:rsid w:val="002E1D74"/>
    <w:rsid w:val="002E252B"/>
    <w:rsid w:val="002E2943"/>
    <w:rsid w:val="002E2CF1"/>
    <w:rsid w:val="002E34AF"/>
    <w:rsid w:val="002E4AAC"/>
    <w:rsid w:val="002E53DE"/>
    <w:rsid w:val="002E563B"/>
    <w:rsid w:val="002E5B73"/>
    <w:rsid w:val="002E62D2"/>
    <w:rsid w:val="002E734F"/>
    <w:rsid w:val="002E74AF"/>
    <w:rsid w:val="002E758C"/>
    <w:rsid w:val="002E7D4D"/>
    <w:rsid w:val="002F0874"/>
    <w:rsid w:val="002F1038"/>
    <w:rsid w:val="002F22FF"/>
    <w:rsid w:val="002F28AA"/>
    <w:rsid w:val="002F2D8F"/>
    <w:rsid w:val="002F5BE4"/>
    <w:rsid w:val="002F695B"/>
    <w:rsid w:val="002F705F"/>
    <w:rsid w:val="002F72DA"/>
    <w:rsid w:val="002F76B1"/>
    <w:rsid w:val="002F7CF9"/>
    <w:rsid w:val="002F7D66"/>
    <w:rsid w:val="002F7DBE"/>
    <w:rsid w:val="0030090B"/>
    <w:rsid w:val="00302992"/>
    <w:rsid w:val="00302AE8"/>
    <w:rsid w:val="00302BB1"/>
    <w:rsid w:val="003030F0"/>
    <w:rsid w:val="0030404B"/>
    <w:rsid w:val="00304210"/>
    <w:rsid w:val="003048D7"/>
    <w:rsid w:val="00304A1B"/>
    <w:rsid w:val="00304AD2"/>
    <w:rsid w:val="00304BDD"/>
    <w:rsid w:val="00304EAA"/>
    <w:rsid w:val="00305297"/>
    <w:rsid w:val="003062E6"/>
    <w:rsid w:val="003068B6"/>
    <w:rsid w:val="003071F6"/>
    <w:rsid w:val="00307FE0"/>
    <w:rsid w:val="003107EB"/>
    <w:rsid w:val="00310E36"/>
    <w:rsid w:val="00310E66"/>
    <w:rsid w:val="00311C08"/>
    <w:rsid w:val="003125E0"/>
    <w:rsid w:val="00312ECE"/>
    <w:rsid w:val="003133EC"/>
    <w:rsid w:val="0031393C"/>
    <w:rsid w:val="00313CB0"/>
    <w:rsid w:val="00313F96"/>
    <w:rsid w:val="00314B0A"/>
    <w:rsid w:val="003150CE"/>
    <w:rsid w:val="00315AAB"/>
    <w:rsid w:val="0031611B"/>
    <w:rsid w:val="003175E1"/>
    <w:rsid w:val="00320275"/>
    <w:rsid w:val="00320299"/>
    <w:rsid w:val="0032094F"/>
    <w:rsid w:val="00321154"/>
    <w:rsid w:val="00321162"/>
    <w:rsid w:val="003211B0"/>
    <w:rsid w:val="00321EDA"/>
    <w:rsid w:val="003224AA"/>
    <w:rsid w:val="003224E7"/>
    <w:rsid w:val="00322FB1"/>
    <w:rsid w:val="0032563B"/>
    <w:rsid w:val="00325D7A"/>
    <w:rsid w:val="00326145"/>
    <w:rsid w:val="00327163"/>
    <w:rsid w:val="00327305"/>
    <w:rsid w:val="00327373"/>
    <w:rsid w:val="0032741A"/>
    <w:rsid w:val="00327531"/>
    <w:rsid w:val="0032753E"/>
    <w:rsid w:val="00330187"/>
    <w:rsid w:val="003313BB"/>
    <w:rsid w:val="00331C77"/>
    <w:rsid w:val="00331DB6"/>
    <w:rsid w:val="00331F96"/>
    <w:rsid w:val="00332B55"/>
    <w:rsid w:val="003336B9"/>
    <w:rsid w:val="0033476C"/>
    <w:rsid w:val="00334B66"/>
    <w:rsid w:val="00335EA8"/>
    <w:rsid w:val="003363DD"/>
    <w:rsid w:val="003375F4"/>
    <w:rsid w:val="00337810"/>
    <w:rsid w:val="00337DDD"/>
    <w:rsid w:val="003401BA"/>
    <w:rsid w:val="00340361"/>
    <w:rsid w:val="00340795"/>
    <w:rsid w:val="0034111C"/>
    <w:rsid w:val="00341947"/>
    <w:rsid w:val="00341E60"/>
    <w:rsid w:val="0034217F"/>
    <w:rsid w:val="00342737"/>
    <w:rsid w:val="00342AD2"/>
    <w:rsid w:val="00342B6B"/>
    <w:rsid w:val="00343954"/>
    <w:rsid w:val="00344329"/>
    <w:rsid w:val="0034470F"/>
    <w:rsid w:val="00344BCA"/>
    <w:rsid w:val="00345405"/>
    <w:rsid w:val="00345DDD"/>
    <w:rsid w:val="00345F75"/>
    <w:rsid w:val="00346FED"/>
    <w:rsid w:val="00347634"/>
    <w:rsid w:val="00347FF2"/>
    <w:rsid w:val="003501B6"/>
    <w:rsid w:val="00351E01"/>
    <w:rsid w:val="003528B2"/>
    <w:rsid w:val="00352968"/>
    <w:rsid w:val="0035298B"/>
    <w:rsid w:val="00352D21"/>
    <w:rsid w:val="0035443D"/>
    <w:rsid w:val="00354517"/>
    <w:rsid w:val="00354AA2"/>
    <w:rsid w:val="00354FEE"/>
    <w:rsid w:val="00355D0F"/>
    <w:rsid w:val="00356275"/>
    <w:rsid w:val="00356C0B"/>
    <w:rsid w:val="00357B9C"/>
    <w:rsid w:val="00361412"/>
    <w:rsid w:val="003615CA"/>
    <w:rsid w:val="00363B2C"/>
    <w:rsid w:val="003642A6"/>
    <w:rsid w:val="003646A2"/>
    <w:rsid w:val="00364763"/>
    <w:rsid w:val="00365C3D"/>
    <w:rsid w:val="00366AA8"/>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77F51"/>
    <w:rsid w:val="00380B66"/>
    <w:rsid w:val="00380F3F"/>
    <w:rsid w:val="00381953"/>
    <w:rsid w:val="0038213B"/>
    <w:rsid w:val="00382232"/>
    <w:rsid w:val="00382F1A"/>
    <w:rsid w:val="00382F9A"/>
    <w:rsid w:val="00383282"/>
    <w:rsid w:val="00383422"/>
    <w:rsid w:val="00383658"/>
    <w:rsid w:val="0038412E"/>
    <w:rsid w:val="00386053"/>
    <w:rsid w:val="003864E5"/>
    <w:rsid w:val="00387459"/>
    <w:rsid w:val="0038771D"/>
    <w:rsid w:val="00390935"/>
    <w:rsid w:val="00391AD2"/>
    <w:rsid w:val="0039241F"/>
    <w:rsid w:val="00392491"/>
    <w:rsid w:val="003935B0"/>
    <w:rsid w:val="00393E44"/>
    <w:rsid w:val="003940CB"/>
    <w:rsid w:val="00394301"/>
    <w:rsid w:val="00396602"/>
    <w:rsid w:val="00396D0E"/>
    <w:rsid w:val="0039747B"/>
    <w:rsid w:val="00397AB6"/>
    <w:rsid w:val="00397ACA"/>
    <w:rsid w:val="003A10C3"/>
    <w:rsid w:val="003A366C"/>
    <w:rsid w:val="003A495D"/>
    <w:rsid w:val="003A4A40"/>
    <w:rsid w:val="003A4C7C"/>
    <w:rsid w:val="003A5611"/>
    <w:rsid w:val="003A5844"/>
    <w:rsid w:val="003A597F"/>
    <w:rsid w:val="003A67DF"/>
    <w:rsid w:val="003A71A8"/>
    <w:rsid w:val="003A71D2"/>
    <w:rsid w:val="003A78E6"/>
    <w:rsid w:val="003B00CA"/>
    <w:rsid w:val="003B030B"/>
    <w:rsid w:val="003B0432"/>
    <w:rsid w:val="003B0783"/>
    <w:rsid w:val="003B0821"/>
    <w:rsid w:val="003B0B89"/>
    <w:rsid w:val="003B0BE9"/>
    <w:rsid w:val="003B0F4B"/>
    <w:rsid w:val="003B1451"/>
    <w:rsid w:val="003B1FBB"/>
    <w:rsid w:val="003B27AC"/>
    <w:rsid w:val="003B2E9B"/>
    <w:rsid w:val="003B2F8D"/>
    <w:rsid w:val="003B3C64"/>
    <w:rsid w:val="003B4FAA"/>
    <w:rsid w:val="003B50A3"/>
    <w:rsid w:val="003B547A"/>
    <w:rsid w:val="003B57CB"/>
    <w:rsid w:val="003B601B"/>
    <w:rsid w:val="003B61B6"/>
    <w:rsid w:val="003B6EC0"/>
    <w:rsid w:val="003B75B9"/>
    <w:rsid w:val="003C087B"/>
    <w:rsid w:val="003C0DA2"/>
    <w:rsid w:val="003C1A18"/>
    <w:rsid w:val="003C5A1E"/>
    <w:rsid w:val="003C5C41"/>
    <w:rsid w:val="003C669D"/>
    <w:rsid w:val="003C6877"/>
    <w:rsid w:val="003C7062"/>
    <w:rsid w:val="003C7461"/>
    <w:rsid w:val="003D0788"/>
    <w:rsid w:val="003D0EC2"/>
    <w:rsid w:val="003D132A"/>
    <w:rsid w:val="003D1517"/>
    <w:rsid w:val="003D1D50"/>
    <w:rsid w:val="003D232D"/>
    <w:rsid w:val="003D286B"/>
    <w:rsid w:val="003D2938"/>
    <w:rsid w:val="003D3FBA"/>
    <w:rsid w:val="003D402B"/>
    <w:rsid w:val="003D54B0"/>
    <w:rsid w:val="003D764F"/>
    <w:rsid w:val="003D76EF"/>
    <w:rsid w:val="003E0042"/>
    <w:rsid w:val="003E0667"/>
    <w:rsid w:val="003E0B7B"/>
    <w:rsid w:val="003E0BCE"/>
    <w:rsid w:val="003E0DF3"/>
    <w:rsid w:val="003E13E0"/>
    <w:rsid w:val="003E1660"/>
    <w:rsid w:val="003E1CD1"/>
    <w:rsid w:val="003E2A2D"/>
    <w:rsid w:val="003E3E39"/>
    <w:rsid w:val="003E47D4"/>
    <w:rsid w:val="003E50B9"/>
    <w:rsid w:val="003E58C4"/>
    <w:rsid w:val="003E64A9"/>
    <w:rsid w:val="003E7905"/>
    <w:rsid w:val="003F0336"/>
    <w:rsid w:val="003F3FCC"/>
    <w:rsid w:val="003F4A69"/>
    <w:rsid w:val="003F4CF0"/>
    <w:rsid w:val="003F5547"/>
    <w:rsid w:val="003F5C40"/>
    <w:rsid w:val="003F670D"/>
    <w:rsid w:val="003F6E12"/>
    <w:rsid w:val="003F6F8B"/>
    <w:rsid w:val="003F75ED"/>
    <w:rsid w:val="004002B7"/>
    <w:rsid w:val="0040066E"/>
    <w:rsid w:val="00400DC9"/>
    <w:rsid w:val="00400F31"/>
    <w:rsid w:val="00401799"/>
    <w:rsid w:val="004023BA"/>
    <w:rsid w:val="00404179"/>
    <w:rsid w:val="0040526A"/>
    <w:rsid w:val="004058F6"/>
    <w:rsid w:val="00406B4D"/>
    <w:rsid w:val="00413C4B"/>
    <w:rsid w:val="0041443C"/>
    <w:rsid w:val="0041488F"/>
    <w:rsid w:val="004154F7"/>
    <w:rsid w:val="00415C5E"/>
    <w:rsid w:val="00416C50"/>
    <w:rsid w:val="00416D44"/>
    <w:rsid w:val="004176FF"/>
    <w:rsid w:val="00417A1E"/>
    <w:rsid w:val="00421206"/>
    <w:rsid w:val="00421A27"/>
    <w:rsid w:val="00421D0A"/>
    <w:rsid w:val="004226C3"/>
    <w:rsid w:val="004228BA"/>
    <w:rsid w:val="00423520"/>
    <w:rsid w:val="004241C5"/>
    <w:rsid w:val="00424A4F"/>
    <w:rsid w:val="00424FA7"/>
    <w:rsid w:val="00425D2C"/>
    <w:rsid w:val="00426A87"/>
    <w:rsid w:val="00427007"/>
    <w:rsid w:val="004309D8"/>
    <w:rsid w:val="004313D1"/>
    <w:rsid w:val="00432110"/>
    <w:rsid w:val="004328EE"/>
    <w:rsid w:val="00433EBE"/>
    <w:rsid w:val="00434406"/>
    <w:rsid w:val="0043705B"/>
    <w:rsid w:val="00440FED"/>
    <w:rsid w:val="00441071"/>
    <w:rsid w:val="00441B92"/>
    <w:rsid w:val="004420AD"/>
    <w:rsid w:val="00443A9F"/>
    <w:rsid w:val="0044474B"/>
    <w:rsid w:val="0044567E"/>
    <w:rsid w:val="00445FF7"/>
    <w:rsid w:val="00446C8E"/>
    <w:rsid w:val="00446E64"/>
    <w:rsid w:val="004508A8"/>
    <w:rsid w:val="00451BAE"/>
    <w:rsid w:val="00452CA7"/>
    <w:rsid w:val="00453341"/>
    <w:rsid w:val="00453666"/>
    <w:rsid w:val="004545C6"/>
    <w:rsid w:val="00454A04"/>
    <w:rsid w:val="00454DCA"/>
    <w:rsid w:val="00454E26"/>
    <w:rsid w:val="00456544"/>
    <w:rsid w:val="00456649"/>
    <w:rsid w:val="004567B7"/>
    <w:rsid w:val="004567DC"/>
    <w:rsid w:val="00456856"/>
    <w:rsid w:val="004571EF"/>
    <w:rsid w:val="0046047A"/>
    <w:rsid w:val="00461210"/>
    <w:rsid w:val="00461700"/>
    <w:rsid w:val="00461999"/>
    <w:rsid w:val="00461AAC"/>
    <w:rsid w:val="00462490"/>
    <w:rsid w:val="00462AC9"/>
    <w:rsid w:val="00463DC3"/>
    <w:rsid w:val="004650A4"/>
    <w:rsid w:val="00465299"/>
    <w:rsid w:val="004654F9"/>
    <w:rsid w:val="00466A0F"/>
    <w:rsid w:val="0046795B"/>
    <w:rsid w:val="004708C0"/>
    <w:rsid w:val="0047115F"/>
    <w:rsid w:val="004715CB"/>
    <w:rsid w:val="00471863"/>
    <w:rsid w:val="0047259C"/>
    <w:rsid w:val="00473777"/>
    <w:rsid w:val="00473A14"/>
    <w:rsid w:val="00473D12"/>
    <w:rsid w:val="004745A9"/>
    <w:rsid w:val="00474871"/>
    <w:rsid w:val="00474CA8"/>
    <w:rsid w:val="00474E43"/>
    <w:rsid w:val="004766DA"/>
    <w:rsid w:val="00476A55"/>
    <w:rsid w:val="0048076D"/>
    <w:rsid w:val="0048134D"/>
    <w:rsid w:val="00481624"/>
    <w:rsid w:val="00481765"/>
    <w:rsid w:val="00481D90"/>
    <w:rsid w:val="00482700"/>
    <w:rsid w:val="0048288B"/>
    <w:rsid w:val="00482CD4"/>
    <w:rsid w:val="00483076"/>
    <w:rsid w:val="00483261"/>
    <w:rsid w:val="0048328A"/>
    <w:rsid w:val="00484377"/>
    <w:rsid w:val="00485B23"/>
    <w:rsid w:val="00485B50"/>
    <w:rsid w:val="004874E4"/>
    <w:rsid w:val="00487686"/>
    <w:rsid w:val="0049070D"/>
    <w:rsid w:val="00490A39"/>
    <w:rsid w:val="00490E82"/>
    <w:rsid w:val="00491BE4"/>
    <w:rsid w:val="00491DB2"/>
    <w:rsid w:val="00492877"/>
    <w:rsid w:val="00495BA6"/>
    <w:rsid w:val="00496219"/>
    <w:rsid w:val="00496DC2"/>
    <w:rsid w:val="00496E75"/>
    <w:rsid w:val="004A014C"/>
    <w:rsid w:val="004A0AA8"/>
    <w:rsid w:val="004A1FE4"/>
    <w:rsid w:val="004A2103"/>
    <w:rsid w:val="004A23AB"/>
    <w:rsid w:val="004A2CA9"/>
    <w:rsid w:val="004A33EF"/>
    <w:rsid w:val="004A34C9"/>
    <w:rsid w:val="004A3A09"/>
    <w:rsid w:val="004A3CB5"/>
    <w:rsid w:val="004A4A4E"/>
    <w:rsid w:val="004A537D"/>
    <w:rsid w:val="004A564D"/>
    <w:rsid w:val="004A67F0"/>
    <w:rsid w:val="004A6AAE"/>
    <w:rsid w:val="004A71C3"/>
    <w:rsid w:val="004A7769"/>
    <w:rsid w:val="004A77B1"/>
    <w:rsid w:val="004A7DEA"/>
    <w:rsid w:val="004B0640"/>
    <w:rsid w:val="004B2118"/>
    <w:rsid w:val="004B23AD"/>
    <w:rsid w:val="004B2965"/>
    <w:rsid w:val="004B3265"/>
    <w:rsid w:val="004B3545"/>
    <w:rsid w:val="004B4224"/>
    <w:rsid w:val="004B4297"/>
    <w:rsid w:val="004B4647"/>
    <w:rsid w:val="004B6896"/>
    <w:rsid w:val="004B6B25"/>
    <w:rsid w:val="004B7455"/>
    <w:rsid w:val="004B74FF"/>
    <w:rsid w:val="004B7CE4"/>
    <w:rsid w:val="004C0401"/>
    <w:rsid w:val="004C0BD0"/>
    <w:rsid w:val="004C0C49"/>
    <w:rsid w:val="004C0CEB"/>
    <w:rsid w:val="004C1096"/>
    <w:rsid w:val="004C183D"/>
    <w:rsid w:val="004C394F"/>
    <w:rsid w:val="004C3EC7"/>
    <w:rsid w:val="004C3EEE"/>
    <w:rsid w:val="004C483D"/>
    <w:rsid w:val="004C49EA"/>
    <w:rsid w:val="004C4D15"/>
    <w:rsid w:val="004C6DA5"/>
    <w:rsid w:val="004C795A"/>
    <w:rsid w:val="004C7F93"/>
    <w:rsid w:val="004D2295"/>
    <w:rsid w:val="004D2629"/>
    <w:rsid w:val="004D26B8"/>
    <w:rsid w:val="004D2C2C"/>
    <w:rsid w:val="004D38C2"/>
    <w:rsid w:val="004D41DC"/>
    <w:rsid w:val="004D4FBD"/>
    <w:rsid w:val="004D4FC0"/>
    <w:rsid w:val="004D5CE7"/>
    <w:rsid w:val="004D5E37"/>
    <w:rsid w:val="004D6381"/>
    <w:rsid w:val="004D7DA8"/>
    <w:rsid w:val="004E10CD"/>
    <w:rsid w:val="004E1401"/>
    <w:rsid w:val="004E2892"/>
    <w:rsid w:val="004E362B"/>
    <w:rsid w:val="004E3681"/>
    <w:rsid w:val="004E3D74"/>
    <w:rsid w:val="004E3E66"/>
    <w:rsid w:val="004E45DD"/>
    <w:rsid w:val="004E5092"/>
    <w:rsid w:val="004E5DE1"/>
    <w:rsid w:val="004E784B"/>
    <w:rsid w:val="004F0224"/>
    <w:rsid w:val="004F0DB4"/>
    <w:rsid w:val="004F0E04"/>
    <w:rsid w:val="004F1613"/>
    <w:rsid w:val="004F1CD3"/>
    <w:rsid w:val="004F1EBC"/>
    <w:rsid w:val="004F20E8"/>
    <w:rsid w:val="004F2710"/>
    <w:rsid w:val="004F2F35"/>
    <w:rsid w:val="004F3158"/>
    <w:rsid w:val="004F3172"/>
    <w:rsid w:val="004F3B71"/>
    <w:rsid w:val="004F3C68"/>
    <w:rsid w:val="004F3FE5"/>
    <w:rsid w:val="004F493F"/>
    <w:rsid w:val="004F5154"/>
    <w:rsid w:val="004F5835"/>
    <w:rsid w:val="004F661C"/>
    <w:rsid w:val="004F6A12"/>
    <w:rsid w:val="004F6D99"/>
    <w:rsid w:val="00500572"/>
    <w:rsid w:val="00500573"/>
    <w:rsid w:val="00500701"/>
    <w:rsid w:val="00501304"/>
    <w:rsid w:val="00501425"/>
    <w:rsid w:val="00501ED9"/>
    <w:rsid w:val="0050318B"/>
    <w:rsid w:val="00503CF2"/>
    <w:rsid w:val="00504311"/>
    <w:rsid w:val="0050485C"/>
    <w:rsid w:val="00504AC6"/>
    <w:rsid w:val="00504D75"/>
    <w:rsid w:val="00505A2A"/>
    <w:rsid w:val="00505D51"/>
    <w:rsid w:val="0050658D"/>
    <w:rsid w:val="00506BB4"/>
    <w:rsid w:val="0050713F"/>
    <w:rsid w:val="0050714D"/>
    <w:rsid w:val="00507CE1"/>
    <w:rsid w:val="0051058B"/>
    <w:rsid w:val="00510A73"/>
    <w:rsid w:val="00510ABC"/>
    <w:rsid w:val="00511079"/>
    <w:rsid w:val="00511411"/>
    <w:rsid w:val="00511CDF"/>
    <w:rsid w:val="00512829"/>
    <w:rsid w:val="00513839"/>
    <w:rsid w:val="00513DEF"/>
    <w:rsid w:val="005140A1"/>
    <w:rsid w:val="0051423C"/>
    <w:rsid w:val="005148D4"/>
    <w:rsid w:val="00514C91"/>
    <w:rsid w:val="005153CE"/>
    <w:rsid w:val="00516241"/>
    <w:rsid w:val="00516FD9"/>
    <w:rsid w:val="0051701F"/>
    <w:rsid w:val="0051791D"/>
    <w:rsid w:val="00520D6D"/>
    <w:rsid w:val="00520FD7"/>
    <w:rsid w:val="005210B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7F6"/>
    <w:rsid w:val="005439D2"/>
    <w:rsid w:val="00543EBB"/>
    <w:rsid w:val="00544213"/>
    <w:rsid w:val="0054486D"/>
    <w:rsid w:val="005453F3"/>
    <w:rsid w:val="00545549"/>
    <w:rsid w:val="0054673F"/>
    <w:rsid w:val="005469F5"/>
    <w:rsid w:val="00546F36"/>
    <w:rsid w:val="005518ED"/>
    <w:rsid w:val="00552093"/>
    <w:rsid w:val="00552BB7"/>
    <w:rsid w:val="00554C49"/>
    <w:rsid w:val="00554E06"/>
    <w:rsid w:val="00554E4B"/>
    <w:rsid w:val="0055519C"/>
    <w:rsid w:val="005554C1"/>
    <w:rsid w:val="0055590C"/>
    <w:rsid w:val="00555F67"/>
    <w:rsid w:val="00556E32"/>
    <w:rsid w:val="005604F1"/>
    <w:rsid w:val="005606A4"/>
    <w:rsid w:val="005607B8"/>
    <w:rsid w:val="00560CF5"/>
    <w:rsid w:val="005610BA"/>
    <w:rsid w:val="0056272D"/>
    <w:rsid w:val="00562BAB"/>
    <w:rsid w:val="00563047"/>
    <w:rsid w:val="0056308E"/>
    <w:rsid w:val="005638C1"/>
    <w:rsid w:val="00563F16"/>
    <w:rsid w:val="0056415C"/>
    <w:rsid w:val="005649BF"/>
    <w:rsid w:val="005650ED"/>
    <w:rsid w:val="00565869"/>
    <w:rsid w:val="00565A88"/>
    <w:rsid w:val="00567415"/>
    <w:rsid w:val="00567610"/>
    <w:rsid w:val="005701D3"/>
    <w:rsid w:val="00570D9F"/>
    <w:rsid w:val="0057185C"/>
    <w:rsid w:val="00571CA8"/>
    <w:rsid w:val="00571CC9"/>
    <w:rsid w:val="00572947"/>
    <w:rsid w:val="00573138"/>
    <w:rsid w:val="005734A7"/>
    <w:rsid w:val="005746C4"/>
    <w:rsid w:val="00574B50"/>
    <w:rsid w:val="00575126"/>
    <w:rsid w:val="005769F2"/>
    <w:rsid w:val="00577835"/>
    <w:rsid w:val="00580793"/>
    <w:rsid w:val="00581470"/>
    <w:rsid w:val="00581B62"/>
    <w:rsid w:val="00581BAD"/>
    <w:rsid w:val="00581D62"/>
    <w:rsid w:val="00582087"/>
    <w:rsid w:val="0058288D"/>
    <w:rsid w:val="00582F21"/>
    <w:rsid w:val="005831DD"/>
    <w:rsid w:val="00584320"/>
    <w:rsid w:val="00584CB8"/>
    <w:rsid w:val="00584FE5"/>
    <w:rsid w:val="00585484"/>
    <w:rsid w:val="00585C0D"/>
    <w:rsid w:val="00586B18"/>
    <w:rsid w:val="00586CA6"/>
    <w:rsid w:val="00587229"/>
    <w:rsid w:val="00587503"/>
    <w:rsid w:val="00587F7F"/>
    <w:rsid w:val="00590E8D"/>
    <w:rsid w:val="00590F0C"/>
    <w:rsid w:val="00590FAC"/>
    <w:rsid w:val="00591511"/>
    <w:rsid w:val="00591E50"/>
    <w:rsid w:val="00592CDA"/>
    <w:rsid w:val="0059331A"/>
    <w:rsid w:val="00593A72"/>
    <w:rsid w:val="00595215"/>
    <w:rsid w:val="00595A8C"/>
    <w:rsid w:val="00595C2C"/>
    <w:rsid w:val="00596BBA"/>
    <w:rsid w:val="00597386"/>
    <w:rsid w:val="005975C4"/>
    <w:rsid w:val="00597ED8"/>
    <w:rsid w:val="005A17AE"/>
    <w:rsid w:val="005A2B20"/>
    <w:rsid w:val="005A34D5"/>
    <w:rsid w:val="005A3943"/>
    <w:rsid w:val="005A4904"/>
    <w:rsid w:val="005A515A"/>
    <w:rsid w:val="005A5DDC"/>
    <w:rsid w:val="005A704D"/>
    <w:rsid w:val="005B1F58"/>
    <w:rsid w:val="005B2E75"/>
    <w:rsid w:val="005B3C6D"/>
    <w:rsid w:val="005B4045"/>
    <w:rsid w:val="005B59CF"/>
    <w:rsid w:val="005B609E"/>
    <w:rsid w:val="005B6DF6"/>
    <w:rsid w:val="005B7B7D"/>
    <w:rsid w:val="005C0F69"/>
    <w:rsid w:val="005C1948"/>
    <w:rsid w:val="005C22F9"/>
    <w:rsid w:val="005C263C"/>
    <w:rsid w:val="005C2679"/>
    <w:rsid w:val="005C298C"/>
    <w:rsid w:val="005C4BFB"/>
    <w:rsid w:val="005C5870"/>
    <w:rsid w:val="005C5D24"/>
    <w:rsid w:val="005C62E7"/>
    <w:rsid w:val="005D059A"/>
    <w:rsid w:val="005D07C5"/>
    <w:rsid w:val="005D1027"/>
    <w:rsid w:val="005D21B7"/>
    <w:rsid w:val="005D2DAD"/>
    <w:rsid w:val="005D4302"/>
    <w:rsid w:val="005D5A20"/>
    <w:rsid w:val="005D61AB"/>
    <w:rsid w:val="005D61E1"/>
    <w:rsid w:val="005D786C"/>
    <w:rsid w:val="005E00E5"/>
    <w:rsid w:val="005E0148"/>
    <w:rsid w:val="005E049F"/>
    <w:rsid w:val="005E0BB6"/>
    <w:rsid w:val="005E2E3E"/>
    <w:rsid w:val="005E3073"/>
    <w:rsid w:val="005E316A"/>
    <w:rsid w:val="005E39AD"/>
    <w:rsid w:val="005E3ED7"/>
    <w:rsid w:val="005E4D68"/>
    <w:rsid w:val="005E6118"/>
    <w:rsid w:val="005E7088"/>
    <w:rsid w:val="005E7E1B"/>
    <w:rsid w:val="005F0108"/>
    <w:rsid w:val="005F0291"/>
    <w:rsid w:val="005F0BFB"/>
    <w:rsid w:val="005F0ECC"/>
    <w:rsid w:val="005F0EE3"/>
    <w:rsid w:val="005F1CFA"/>
    <w:rsid w:val="005F21A5"/>
    <w:rsid w:val="005F2470"/>
    <w:rsid w:val="005F28C6"/>
    <w:rsid w:val="005F3F16"/>
    <w:rsid w:val="005F52CC"/>
    <w:rsid w:val="005F5E6F"/>
    <w:rsid w:val="005F611E"/>
    <w:rsid w:val="005F6510"/>
    <w:rsid w:val="005F681C"/>
    <w:rsid w:val="005F6BD4"/>
    <w:rsid w:val="005F7188"/>
    <w:rsid w:val="005F7985"/>
    <w:rsid w:val="00600CEB"/>
    <w:rsid w:val="00601DDB"/>
    <w:rsid w:val="00602A78"/>
    <w:rsid w:val="00602A84"/>
    <w:rsid w:val="00602AA1"/>
    <w:rsid w:val="00603123"/>
    <w:rsid w:val="006036F4"/>
    <w:rsid w:val="0060371F"/>
    <w:rsid w:val="00604151"/>
    <w:rsid w:val="00604367"/>
    <w:rsid w:val="006044BE"/>
    <w:rsid w:val="0060475F"/>
    <w:rsid w:val="006047DF"/>
    <w:rsid w:val="00604804"/>
    <w:rsid w:val="00604DE1"/>
    <w:rsid w:val="006060C2"/>
    <w:rsid w:val="00606764"/>
    <w:rsid w:val="00606A26"/>
    <w:rsid w:val="00607D81"/>
    <w:rsid w:val="006106FE"/>
    <w:rsid w:val="00610747"/>
    <w:rsid w:val="0061094C"/>
    <w:rsid w:val="00610E03"/>
    <w:rsid w:val="0061176E"/>
    <w:rsid w:val="006122B0"/>
    <w:rsid w:val="00612B30"/>
    <w:rsid w:val="00612E6A"/>
    <w:rsid w:val="00613EA5"/>
    <w:rsid w:val="00614CD1"/>
    <w:rsid w:val="006151F2"/>
    <w:rsid w:val="0061567B"/>
    <w:rsid w:val="00615AC8"/>
    <w:rsid w:val="00620946"/>
    <w:rsid w:val="00620A83"/>
    <w:rsid w:val="0062131D"/>
    <w:rsid w:val="0062152A"/>
    <w:rsid w:val="00621753"/>
    <w:rsid w:val="00623583"/>
    <w:rsid w:val="0062462F"/>
    <w:rsid w:val="00624BA1"/>
    <w:rsid w:val="006263C1"/>
    <w:rsid w:val="006264F4"/>
    <w:rsid w:val="0062661B"/>
    <w:rsid w:val="006272D8"/>
    <w:rsid w:val="00627832"/>
    <w:rsid w:val="00630118"/>
    <w:rsid w:val="00630514"/>
    <w:rsid w:val="006310AE"/>
    <w:rsid w:val="00631762"/>
    <w:rsid w:val="00632196"/>
    <w:rsid w:val="00632BA2"/>
    <w:rsid w:val="00633BF2"/>
    <w:rsid w:val="00633F67"/>
    <w:rsid w:val="006345C3"/>
    <w:rsid w:val="0063530F"/>
    <w:rsid w:val="0063620B"/>
    <w:rsid w:val="006362F9"/>
    <w:rsid w:val="006369A9"/>
    <w:rsid w:val="006373CD"/>
    <w:rsid w:val="00641283"/>
    <w:rsid w:val="006413CF"/>
    <w:rsid w:val="00641413"/>
    <w:rsid w:val="00641465"/>
    <w:rsid w:val="0064165D"/>
    <w:rsid w:val="00642198"/>
    <w:rsid w:val="0064243F"/>
    <w:rsid w:val="00642E8C"/>
    <w:rsid w:val="006433BD"/>
    <w:rsid w:val="00643562"/>
    <w:rsid w:val="00643784"/>
    <w:rsid w:val="00644186"/>
    <w:rsid w:val="00644A21"/>
    <w:rsid w:val="00645320"/>
    <w:rsid w:val="00645C9F"/>
    <w:rsid w:val="00646305"/>
    <w:rsid w:val="00646864"/>
    <w:rsid w:val="00646965"/>
    <w:rsid w:val="00646A6C"/>
    <w:rsid w:val="006475E6"/>
    <w:rsid w:val="00647CFA"/>
    <w:rsid w:val="006508B9"/>
    <w:rsid w:val="00650CA1"/>
    <w:rsid w:val="0065143C"/>
    <w:rsid w:val="00651854"/>
    <w:rsid w:val="00652578"/>
    <w:rsid w:val="006539E8"/>
    <w:rsid w:val="00656307"/>
    <w:rsid w:val="006565D8"/>
    <w:rsid w:val="00656B96"/>
    <w:rsid w:val="00656F79"/>
    <w:rsid w:val="0065736B"/>
    <w:rsid w:val="006573E2"/>
    <w:rsid w:val="006578E4"/>
    <w:rsid w:val="00657AE5"/>
    <w:rsid w:val="00660380"/>
    <w:rsid w:val="006610FB"/>
    <w:rsid w:val="006619B0"/>
    <w:rsid w:val="00662012"/>
    <w:rsid w:val="00662543"/>
    <w:rsid w:val="006626D0"/>
    <w:rsid w:val="006628E9"/>
    <w:rsid w:val="006641F4"/>
    <w:rsid w:val="00664E8C"/>
    <w:rsid w:val="00665865"/>
    <w:rsid w:val="00665F7C"/>
    <w:rsid w:val="0066699A"/>
    <w:rsid w:val="00666DFC"/>
    <w:rsid w:val="00666EBB"/>
    <w:rsid w:val="0066779E"/>
    <w:rsid w:val="00667FAF"/>
    <w:rsid w:val="0067012B"/>
    <w:rsid w:val="0067096D"/>
    <w:rsid w:val="00670AF4"/>
    <w:rsid w:val="0067115C"/>
    <w:rsid w:val="006719E0"/>
    <w:rsid w:val="0067269D"/>
    <w:rsid w:val="00672988"/>
    <w:rsid w:val="00672C64"/>
    <w:rsid w:val="00674E6A"/>
    <w:rsid w:val="00675CF4"/>
    <w:rsid w:val="00675EB7"/>
    <w:rsid w:val="00676A64"/>
    <w:rsid w:val="00677925"/>
    <w:rsid w:val="006779BF"/>
    <w:rsid w:val="00680F46"/>
    <w:rsid w:val="00681FDC"/>
    <w:rsid w:val="006826D1"/>
    <w:rsid w:val="00682B53"/>
    <w:rsid w:val="00682F27"/>
    <w:rsid w:val="00685938"/>
    <w:rsid w:val="006859DB"/>
    <w:rsid w:val="006864B0"/>
    <w:rsid w:val="0068678D"/>
    <w:rsid w:val="00687488"/>
    <w:rsid w:val="006904ED"/>
    <w:rsid w:val="00690E2E"/>
    <w:rsid w:val="006915D7"/>
    <w:rsid w:val="00691CBF"/>
    <w:rsid w:val="00691FAB"/>
    <w:rsid w:val="00692814"/>
    <w:rsid w:val="006932E7"/>
    <w:rsid w:val="00693347"/>
    <w:rsid w:val="0069334C"/>
    <w:rsid w:val="00694739"/>
    <w:rsid w:val="006948EF"/>
    <w:rsid w:val="006955D7"/>
    <w:rsid w:val="0069568E"/>
    <w:rsid w:val="00695CE5"/>
    <w:rsid w:val="00696B0A"/>
    <w:rsid w:val="00696D63"/>
    <w:rsid w:val="006970AF"/>
    <w:rsid w:val="006A032F"/>
    <w:rsid w:val="006A0DD3"/>
    <w:rsid w:val="006A12DC"/>
    <w:rsid w:val="006A146E"/>
    <w:rsid w:val="006A1BEB"/>
    <w:rsid w:val="006A3022"/>
    <w:rsid w:val="006A3CCA"/>
    <w:rsid w:val="006A41AE"/>
    <w:rsid w:val="006A4856"/>
    <w:rsid w:val="006A4B17"/>
    <w:rsid w:val="006A5474"/>
    <w:rsid w:val="006A564B"/>
    <w:rsid w:val="006A5ABE"/>
    <w:rsid w:val="006A6DBF"/>
    <w:rsid w:val="006A7C80"/>
    <w:rsid w:val="006B05B5"/>
    <w:rsid w:val="006B1545"/>
    <w:rsid w:val="006B1842"/>
    <w:rsid w:val="006B23B9"/>
    <w:rsid w:val="006B2DA7"/>
    <w:rsid w:val="006B2F4D"/>
    <w:rsid w:val="006B306B"/>
    <w:rsid w:val="006B3682"/>
    <w:rsid w:val="006B3974"/>
    <w:rsid w:val="006B4226"/>
    <w:rsid w:val="006B48CB"/>
    <w:rsid w:val="006B564D"/>
    <w:rsid w:val="006B5A0E"/>
    <w:rsid w:val="006C1445"/>
    <w:rsid w:val="006C1F8D"/>
    <w:rsid w:val="006C3AB0"/>
    <w:rsid w:val="006C4FC1"/>
    <w:rsid w:val="006C51A5"/>
    <w:rsid w:val="006C529D"/>
    <w:rsid w:val="006C61ED"/>
    <w:rsid w:val="006C6798"/>
    <w:rsid w:val="006C6B0F"/>
    <w:rsid w:val="006C6DF7"/>
    <w:rsid w:val="006D0826"/>
    <w:rsid w:val="006D0885"/>
    <w:rsid w:val="006D0C12"/>
    <w:rsid w:val="006D0E6B"/>
    <w:rsid w:val="006D1508"/>
    <w:rsid w:val="006D18B5"/>
    <w:rsid w:val="006D2146"/>
    <w:rsid w:val="006D632E"/>
    <w:rsid w:val="006D6C9C"/>
    <w:rsid w:val="006E094A"/>
    <w:rsid w:val="006E12B1"/>
    <w:rsid w:val="006E13D1"/>
    <w:rsid w:val="006E4D0C"/>
    <w:rsid w:val="006E4D1B"/>
    <w:rsid w:val="006E528B"/>
    <w:rsid w:val="006E5B78"/>
    <w:rsid w:val="006E5C46"/>
    <w:rsid w:val="006E5EA3"/>
    <w:rsid w:val="006E6193"/>
    <w:rsid w:val="006E67BA"/>
    <w:rsid w:val="006E699D"/>
    <w:rsid w:val="006E6A5C"/>
    <w:rsid w:val="006E6BA3"/>
    <w:rsid w:val="006E6C02"/>
    <w:rsid w:val="006F1116"/>
    <w:rsid w:val="006F2654"/>
    <w:rsid w:val="006F3196"/>
    <w:rsid w:val="006F3C54"/>
    <w:rsid w:val="006F418C"/>
    <w:rsid w:val="006F5463"/>
    <w:rsid w:val="006F5E64"/>
    <w:rsid w:val="006F60DE"/>
    <w:rsid w:val="006F65FB"/>
    <w:rsid w:val="006F7914"/>
    <w:rsid w:val="006F7C0B"/>
    <w:rsid w:val="006F7E46"/>
    <w:rsid w:val="00700AB4"/>
    <w:rsid w:val="00700FCA"/>
    <w:rsid w:val="007015C6"/>
    <w:rsid w:val="00701645"/>
    <w:rsid w:val="00701BBC"/>
    <w:rsid w:val="007021C8"/>
    <w:rsid w:val="00702D5A"/>
    <w:rsid w:val="00702EF7"/>
    <w:rsid w:val="00703571"/>
    <w:rsid w:val="00703989"/>
    <w:rsid w:val="007042E9"/>
    <w:rsid w:val="00704495"/>
    <w:rsid w:val="007045B2"/>
    <w:rsid w:val="00706585"/>
    <w:rsid w:val="00706A45"/>
    <w:rsid w:val="007108D3"/>
    <w:rsid w:val="0071118B"/>
    <w:rsid w:val="007112DB"/>
    <w:rsid w:val="00711928"/>
    <w:rsid w:val="00711C66"/>
    <w:rsid w:val="00711C6D"/>
    <w:rsid w:val="00711E13"/>
    <w:rsid w:val="00712D31"/>
    <w:rsid w:val="00712EDA"/>
    <w:rsid w:val="007136D0"/>
    <w:rsid w:val="007155A9"/>
    <w:rsid w:val="007158E1"/>
    <w:rsid w:val="00716AA6"/>
    <w:rsid w:val="0071705B"/>
    <w:rsid w:val="00720505"/>
    <w:rsid w:val="0072209D"/>
    <w:rsid w:val="00722682"/>
    <w:rsid w:val="00722E90"/>
    <w:rsid w:val="007236A3"/>
    <w:rsid w:val="007239B6"/>
    <w:rsid w:val="0072490A"/>
    <w:rsid w:val="00724B64"/>
    <w:rsid w:val="0072517D"/>
    <w:rsid w:val="007254B3"/>
    <w:rsid w:val="00726413"/>
    <w:rsid w:val="007266AE"/>
    <w:rsid w:val="00726878"/>
    <w:rsid w:val="00727533"/>
    <w:rsid w:val="0073124A"/>
    <w:rsid w:val="00731B79"/>
    <w:rsid w:val="00731B8A"/>
    <w:rsid w:val="00731C1A"/>
    <w:rsid w:val="007320A2"/>
    <w:rsid w:val="007327CE"/>
    <w:rsid w:val="00733893"/>
    <w:rsid w:val="0073450F"/>
    <w:rsid w:val="00734A05"/>
    <w:rsid w:val="00734ECC"/>
    <w:rsid w:val="00735C6F"/>
    <w:rsid w:val="00736998"/>
    <w:rsid w:val="00737A31"/>
    <w:rsid w:val="007401EB"/>
    <w:rsid w:val="00740C5E"/>
    <w:rsid w:val="00741854"/>
    <w:rsid w:val="00742A6A"/>
    <w:rsid w:val="00742B44"/>
    <w:rsid w:val="00743F8E"/>
    <w:rsid w:val="00745510"/>
    <w:rsid w:val="007457D0"/>
    <w:rsid w:val="00745F12"/>
    <w:rsid w:val="0074656E"/>
    <w:rsid w:val="007472D5"/>
    <w:rsid w:val="00752B03"/>
    <w:rsid w:val="00753454"/>
    <w:rsid w:val="00753BB5"/>
    <w:rsid w:val="007544F1"/>
    <w:rsid w:val="00755E4A"/>
    <w:rsid w:val="00756832"/>
    <w:rsid w:val="00757F0B"/>
    <w:rsid w:val="0076160F"/>
    <w:rsid w:val="007626C3"/>
    <w:rsid w:val="007626D0"/>
    <w:rsid w:val="00763137"/>
    <w:rsid w:val="007651CA"/>
    <w:rsid w:val="007653E7"/>
    <w:rsid w:val="00765995"/>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4190"/>
    <w:rsid w:val="0078457B"/>
    <w:rsid w:val="00784756"/>
    <w:rsid w:val="0078539D"/>
    <w:rsid w:val="007856C1"/>
    <w:rsid w:val="00785B0F"/>
    <w:rsid w:val="00787051"/>
    <w:rsid w:val="0079018D"/>
    <w:rsid w:val="00790190"/>
    <w:rsid w:val="007901DC"/>
    <w:rsid w:val="00791A00"/>
    <w:rsid w:val="00791DDB"/>
    <w:rsid w:val="00792CEE"/>
    <w:rsid w:val="007936A8"/>
    <w:rsid w:val="00794D71"/>
    <w:rsid w:val="007962B4"/>
    <w:rsid w:val="0079676D"/>
    <w:rsid w:val="00796F15"/>
    <w:rsid w:val="00797E22"/>
    <w:rsid w:val="007A138F"/>
    <w:rsid w:val="007A1640"/>
    <w:rsid w:val="007A1AE4"/>
    <w:rsid w:val="007A39DF"/>
    <w:rsid w:val="007A43ED"/>
    <w:rsid w:val="007A4BDD"/>
    <w:rsid w:val="007A6CFD"/>
    <w:rsid w:val="007A72EE"/>
    <w:rsid w:val="007B0397"/>
    <w:rsid w:val="007B0ADB"/>
    <w:rsid w:val="007B1417"/>
    <w:rsid w:val="007B26EE"/>
    <w:rsid w:val="007B3502"/>
    <w:rsid w:val="007B3E6D"/>
    <w:rsid w:val="007B44ED"/>
    <w:rsid w:val="007B491A"/>
    <w:rsid w:val="007B4FC1"/>
    <w:rsid w:val="007B5370"/>
    <w:rsid w:val="007B61F5"/>
    <w:rsid w:val="007B63FA"/>
    <w:rsid w:val="007B7496"/>
    <w:rsid w:val="007C0802"/>
    <w:rsid w:val="007C0CC2"/>
    <w:rsid w:val="007C12BE"/>
    <w:rsid w:val="007C2739"/>
    <w:rsid w:val="007C3721"/>
    <w:rsid w:val="007C4B0F"/>
    <w:rsid w:val="007C4DAD"/>
    <w:rsid w:val="007C5830"/>
    <w:rsid w:val="007C5933"/>
    <w:rsid w:val="007C599E"/>
    <w:rsid w:val="007C5DB8"/>
    <w:rsid w:val="007C5DCE"/>
    <w:rsid w:val="007C60F0"/>
    <w:rsid w:val="007C6CA2"/>
    <w:rsid w:val="007C736E"/>
    <w:rsid w:val="007C75BD"/>
    <w:rsid w:val="007D05B2"/>
    <w:rsid w:val="007D05FA"/>
    <w:rsid w:val="007D07CD"/>
    <w:rsid w:val="007D0C44"/>
    <w:rsid w:val="007D1972"/>
    <w:rsid w:val="007D1F33"/>
    <w:rsid w:val="007D3307"/>
    <w:rsid w:val="007D4262"/>
    <w:rsid w:val="007D44CE"/>
    <w:rsid w:val="007D54F8"/>
    <w:rsid w:val="007D5E27"/>
    <w:rsid w:val="007D6F64"/>
    <w:rsid w:val="007E1782"/>
    <w:rsid w:val="007E25AB"/>
    <w:rsid w:val="007E2F41"/>
    <w:rsid w:val="007E44FC"/>
    <w:rsid w:val="007E5AC2"/>
    <w:rsid w:val="007E6461"/>
    <w:rsid w:val="007E661D"/>
    <w:rsid w:val="007E79C5"/>
    <w:rsid w:val="007F0798"/>
    <w:rsid w:val="007F2845"/>
    <w:rsid w:val="007F2A69"/>
    <w:rsid w:val="007F38A2"/>
    <w:rsid w:val="007F43BC"/>
    <w:rsid w:val="007F4740"/>
    <w:rsid w:val="007F5667"/>
    <w:rsid w:val="007F5B97"/>
    <w:rsid w:val="008006C6"/>
    <w:rsid w:val="00800BA2"/>
    <w:rsid w:val="00800C52"/>
    <w:rsid w:val="0080153E"/>
    <w:rsid w:val="008018C8"/>
    <w:rsid w:val="0080263A"/>
    <w:rsid w:val="0080329D"/>
    <w:rsid w:val="00803CE1"/>
    <w:rsid w:val="008055A9"/>
    <w:rsid w:val="0080742D"/>
    <w:rsid w:val="00807CA2"/>
    <w:rsid w:val="008100AC"/>
    <w:rsid w:val="00810C05"/>
    <w:rsid w:val="0081151E"/>
    <w:rsid w:val="00811A5F"/>
    <w:rsid w:val="00812498"/>
    <w:rsid w:val="008127E6"/>
    <w:rsid w:val="0081336E"/>
    <w:rsid w:val="00813928"/>
    <w:rsid w:val="008154EC"/>
    <w:rsid w:val="00816F18"/>
    <w:rsid w:val="00820DC7"/>
    <w:rsid w:val="00820FFB"/>
    <w:rsid w:val="00821698"/>
    <w:rsid w:val="008221FE"/>
    <w:rsid w:val="00822719"/>
    <w:rsid w:val="00822BF5"/>
    <w:rsid w:val="00823848"/>
    <w:rsid w:val="00824894"/>
    <w:rsid w:val="00824FFF"/>
    <w:rsid w:val="00825366"/>
    <w:rsid w:val="00825DCD"/>
    <w:rsid w:val="00825E84"/>
    <w:rsid w:val="00826C7B"/>
    <w:rsid w:val="00826DD9"/>
    <w:rsid w:val="00826E01"/>
    <w:rsid w:val="008277A8"/>
    <w:rsid w:val="008278B6"/>
    <w:rsid w:val="00827BED"/>
    <w:rsid w:val="008307ED"/>
    <w:rsid w:val="00830B3B"/>
    <w:rsid w:val="008313E7"/>
    <w:rsid w:val="0083350F"/>
    <w:rsid w:val="00833988"/>
    <w:rsid w:val="0083406A"/>
    <w:rsid w:val="0083407A"/>
    <w:rsid w:val="00834358"/>
    <w:rsid w:val="008346BD"/>
    <w:rsid w:val="00834923"/>
    <w:rsid w:val="00834FDA"/>
    <w:rsid w:val="0083564B"/>
    <w:rsid w:val="008359EB"/>
    <w:rsid w:val="00836B7A"/>
    <w:rsid w:val="00836E9B"/>
    <w:rsid w:val="00837249"/>
    <w:rsid w:val="00837B90"/>
    <w:rsid w:val="008409AA"/>
    <w:rsid w:val="00840AC1"/>
    <w:rsid w:val="00840FB8"/>
    <w:rsid w:val="008421F8"/>
    <w:rsid w:val="0084232B"/>
    <w:rsid w:val="00842E0C"/>
    <w:rsid w:val="00843A7A"/>
    <w:rsid w:val="008447F5"/>
    <w:rsid w:val="008448FB"/>
    <w:rsid w:val="00844C7E"/>
    <w:rsid w:val="00846292"/>
    <w:rsid w:val="008506E1"/>
    <w:rsid w:val="00850D96"/>
    <w:rsid w:val="008515EE"/>
    <w:rsid w:val="00851A8E"/>
    <w:rsid w:val="00851EC7"/>
    <w:rsid w:val="008528D3"/>
    <w:rsid w:val="00852AE3"/>
    <w:rsid w:val="0085446F"/>
    <w:rsid w:val="00854553"/>
    <w:rsid w:val="00855B86"/>
    <w:rsid w:val="008564F2"/>
    <w:rsid w:val="00856D47"/>
    <w:rsid w:val="00860874"/>
    <w:rsid w:val="008609A3"/>
    <w:rsid w:val="00862008"/>
    <w:rsid w:val="00862720"/>
    <w:rsid w:val="008628C8"/>
    <w:rsid w:val="00862B2A"/>
    <w:rsid w:val="008630B9"/>
    <w:rsid w:val="00863F37"/>
    <w:rsid w:val="0086406B"/>
    <w:rsid w:val="00864C8C"/>
    <w:rsid w:val="008659FB"/>
    <w:rsid w:val="00866A0D"/>
    <w:rsid w:val="0086709D"/>
    <w:rsid w:val="00867651"/>
    <w:rsid w:val="00867B5A"/>
    <w:rsid w:val="00873943"/>
    <w:rsid w:val="00874009"/>
    <w:rsid w:val="00874158"/>
    <w:rsid w:val="008743F3"/>
    <w:rsid w:val="0087444A"/>
    <w:rsid w:val="00875139"/>
    <w:rsid w:val="00875410"/>
    <w:rsid w:val="00876C54"/>
    <w:rsid w:val="0087727E"/>
    <w:rsid w:val="0087742A"/>
    <w:rsid w:val="00880EDF"/>
    <w:rsid w:val="008811FD"/>
    <w:rsid w:val="008817DE"/>
    <w:rsid w:val="0088208D"/>
    <w:rsid w:val="00882296"/>
    <w:rsid w:val="00882DE6"/>
    <w:rsid w:val="00883A20"/>
    <w:rsid w:val="00883D4D"/>
    <w:rsid w:val="00884007"/>
    <w:rsid w:val="0088425F"/>
    <w:rsid w:val="00884B59"/>
    <w:rsid w:val="008850BA"/>
    <w:rsid w:val="008853DF"/>
    <w:rsid w:val="00885580"/>
    <w:rsid w:val="00885876"/>
    <w:rsid w:val="00886185"/>
    <w:rsid w:val="008861D9"/>
    <w:rsid w:val="0088638C"/>
    <w:rsid w:val="00886EDF"/>
    <w:rsid w:val="00887E55"/>
    <w:rsid w:val="008908E5"/>
    <w:rsid w:val="00891216"/>
    <w:rsid w:val="00894B58"/>
    <w:rsid w:val="00894FDC"/>
    <w:rsid w:val="008957D3"/>
    <w:rsid w:val="00895C1E"/>
    <w:rsid w:val="00896414"/>
    <w:rsid w:val="00896BBD"/>
    <w:rsid w:val="0089716F"/>
    <w:rsid w:val="00897C71"/>
    <w:rsid w:val="008A0F54"/>
    <w:rsid w:val="008A16F9"/>
    <w:rsid w:val="008A1D3E"/>
    <w:rsid w:val="008A3038"/>
    <w:rsid w:val="008A4B16"/>
    <w:rsid w:val="008A4D63"/>
    <w:rsid w:val="008A4E11"/>
    <w:rsid w:val="008A522B"/>
    <w:rsid w:val="008A6D62"/>
    <w:rsid w:val="008B13E9"/>
    <w:rsid w:val="008B2257"/>
    <w:rsid w:val="008B2436"/>
    <w:rsid w:val="008B2D2E"/>
    <w:rsid w:val="008B31E6"/>
    <w:rsid w:val="008B3B51"/>
    <w:rsid w:val="008B4057"/>
    <w:rsid w:val="008B4145"/>
    <w:rsid w:val="008B5071"/>
    <w:rsid w:val="008B5290"/>
    <w:rsid w:val="008B6A40"/>
    <w:rsid w:val="008B72EC"/>
    <w:rsid w:val="008B73FA"/>
    <w:rsid w:val="008C12CD"/>
    <w:rsid w:val="008C2554"/>
    <w:rsid w:val="008C2CFD"/>
    <w:rsid w:val="008C3FDC"/>
    <w:rsid w:val="008C47AD"/>
    <w:rsid w:val="008C603A"/>
    <w:rsid w:val="008C71C8"/>
    <w:rsid w:val="008D13B3"/>
    <w:rsid w:val="008D167D"/>
    <w:rsid w:val="008D3116"/>
    <w:rsid w:val="008D492A"/>
    <w:rsid w:val="008D4B58"/>
    <w:rsid w:val="008D4B7F"/>
    <w:rsid w:val="008D4B8A"/>
    <w:rsid w:val="008D6541"/>
    <w:rsid w:val="008D7B28"/>
    <w:rsid w:val="008D7D7B"/>
    <w:rsid w:val="008DC496"/>
    <w:rsid w:val="008E070F"/>
    <w:rsid w:val="008E0F52"/>
    <w:rsid w:val="008E216C"/>
    <w:rsid w:val="008E2316"/>
    <w:rsid w:val="008E3063"/>
    <w:rsid w:val="008E34BE"/>
    <w:rsid w:val="008E3AA8"/>
    <w:rsid w:val="008E3E57"/>
    <w:rsid w:val="008E42CE"/>
    <w:rsid w:val="008E42F4"/>
    <w:rsid w:val="008E4333"/>
    <w:rsid w:val="008E4A31"/>
    <w:rsid w:val="008E5657"/>
    <w:rsid w:val="008E5E51"/>
    <w:rsid w:val="008E784C"/>
    <w:rsid w:val="008F00DB"/>
    <w:rsid w:val="008F021A"/>
    <w:rsid w:val="008F1264"/>
    <w:rsid w:val="008F2194"/>
    <w:rsid w:val="008F25D8"/>
    <w:rsid w:val="008F2908"/>
    <w:rsid w:val="008F42F2"/>
    <w:rsid w:val="008F4684"/>
    <w:rsid w:val="008F47C6"/>
    <w:rsid w:val="008F4A2D"/>
    <w:rsid w:val="008F5207"/>
    <w:rsid w:val="008F5244"/>
    <w:rsid w:val="008F541C"/>
    <w:rsid w:val="008F6647"/>
    <w:rsid w:val="008F700E"/>
    <w:rsid w:val="00900343"/>
    <w:rsid w:val="009006A2"/>
    <w:rsid w:val="0090102B"/>
    <w:rsid w:val="00901448"/>
    <w:rsid w:val="009016EB"/>
    <w:rsid w:val="0090220D"/>
    <w:rsid w:val="009036BC"/>
    <w:rsid w:val="00903D30"/>
    <w:rsid w:val="00904414"/>
    <w:rsid w:val="00905197"/>
    <w:rsid w:val="00905C47"/>
    <w:rsid w:val="00906379"/>
    <w:rsid w:val="00906A8C"/>
    <w:rsid w:val="009101EA"/>
    <w:rsid w:val="009106FC"/>
    <w:rsid w:val="009107D6"/>
    <w:rsid w:val="009108E5"/>
    <w:rsid w:val="009118BB"/>
    <w:rsid w:val="0091191F"/>
    <w:rsid w:val="00911E41"/>
    <w:rsid w:val="00911E7D"/>
    <w:rsid w:val="009120A9"/>
    <w:rsid w:val="009134C3"/>
    <w:rsid w:val="00913C23"/>
    <w:rsid w:val="00915085"/>
    <w:rsid w:val="00915B81"/>
    <w:rsid w:val="00915D6B"/>
    <w:rsid w:val="009160DF"/>
    <w:rsid w:val="009162C7"/>
    <w:rsid w:val="00916EC2"/>
    <w:rsid w:val="009213BD"/>
    <w:rsid w:val="009227AB"/>
    <w:rsid w:val="009230A6"/>
    <w:rsid w:val="0092324B"/>
    <w:rsid w:val="00924393"/>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87"/>
    <w:rsid w:val="00941DF9"/>
    <w:rsid w:val="0094209A"/>
    <w:rsid w:val="009421AD"/>
    <w:rsid w:val="0094221C"/>
    <w:rsid w:val="0094409C"/>
    <w:rsid w:val="00944159"/>
    <w:rsid w:val="009449B2"/>
    <w:rsid w:val="00944A82"/>
    <w:rsid w:val="00944BA5"/>
    <w:rsid w:val="00946C4D"/>
    <w:rsid w:val="0095019A"/>
    <w:rsid w:val="00950D5E"/>
    <w:rsid w:val="0095285B"/>
    <w:rsid w:val="00953FE9"/>
    <w:rsid w:val="00954417"/>
    <w:rsid w:val="0095481C"/>
    <w:rsid w:val="0095526F"/>
    <w:rsid w:val="009567E6"/>
    <w:rsid w:val="00956A96"/>
    <w:rsid w:val="00957076"/>
    <w:rsid w:val="00957132"/>
    <w:rsid w:val="009576FD"/>
    <w:rsid w:val="009578EB"/>
    <w:rsid w:val="009578FF"/>
    <w:rsid w:val="00957EAE"/>
    <w:rsid w:val="00960446"/>
    <w:rsid w:val="009610ED"/>
    <w:rsid w:val="00961EE9"/>
    <w:rsid w:val="009633BB"/>
    <w:rsid w:val="0096369A"/>
    <w:rsid w:val="00963A36"/>
    <w:rsid w:val="00963F8C"/>
    <w:rsid w:val="009643DA"/>
    <w:rsid w:val="0096485F"/>
    <w:rsid w:val="00965C40"/>
    <w:rsid w:val="00967354"/>
    <w:rsid w:val="00971174"/>
    <w:rsid w:val="00971592"/>
    <w:rsid w:val="00971617"/>
    <w:rsid w:val="009717F8"/>
    <w:rsid w:val="00971DDF"/>
    <w:rsid w:val="0097225C"/>
    <w:rsid w:val="009731D6"/>
    <w:rsid w:val="00973FC6"/>
    <w:rsid w:val="00974746"/>
    <w:rsid w:val="00975119"/>
    <w:rsid w:val="009752AA"/>
    <w:rsid w:val="009763ED"/>
    <w:rsid w:val="00976F04"/>
    <w:rsid w:val="009777F4"/>
    <w:rsid w:val="00977AD8"/>
    <w:rsid w:val="00980A10"/>
    <w:rsid w:val="00981130"/>
    <w:rsid w:val="00981727"/>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012"/>
    <w:rsid w:val="00992343"/>
    <w:rsid w:val="00992D0D"/>
    <w:rsid w:val="0099307C"/>
    <w:rsid w:val="0099383D"/>
    <w:rsid w:val="009938B1"/>
    <w:rsid w:val="00996258"/>
    <w:rsid w:val="00996306"/>
    <w:rsid w:val="0099649F"/>
    <w:rsid w:val="00996744"/>
    <w:rsid w:val="00997CF4"/>
    <w:rsid w:val="009A1169"/>
    <w:rsid w:val="009A164C"/>
    <w:rsid w:val="009A1AAC"/>
    <w:rsid w:val="009A2BB6"/>
    <w:rsid w:val="009A2CB8"/>
    <w:rsid w:val="009A3125"/>
    <w:rsid w:val="009A3164"/>
    <w:rsid w:val="009A3789"/>
    <w:rsid w:val="009A45A2"/>
    <w:rsid w:val="009A6919"/>
    <w:rsid w:val="009A6AC7"/>
    <w:rsid w:val="009B0173"/>
    <w:rsid w:val="009B0408"/>
    <w:rsid w:val="009B0843"/>
    <w:rsid w:val="009B09CD"/>
    <w:rsid w:val="009B0DEE"/>
    <w:rsid w:val="009B1335"/>
    <w:rsid w:val="009B15EF"/>
    <w:rsid w:val="009B176D"/>
    <w:rsid w:val="009B1E47"/>
    <w:rsid w:val="009B2CED"/>
    <w:rsid w:val="009B3054"/>
    <w:rsid w:val="009B335D"/>
    <w:rsid w:val="009B393B"/>
    <w:rsid w:val="009B3C90"/>
    <w:rsid w:val="009B437B"/>
    <w:rsid w:val="009B4F87"/>
    <w:rsid w:val="009B5216"/>
    <w:rsid w:val="009B594F"/>
    <w:rsid w:val="009B76E3"/>
    <w:rsid w:val="009B76F9"/>
    <w:rsid w:val="009B7A72"/>
    <w:rsid w:val="009B7BB8"/>
    <w:rsid w:val="009C0E9B"/>
    <w:rsid w:val="009C126A"/>
    <w:rsid w:val="009C1D4C"/>
    <w:rsid w:val="009C2C8E"/>
    <w:rsid w:val="009C2DD2"/>
    <w:rsid w:val="009C3982"/>
    <w:rsid w:val="009C441F"/>
    <w:rsid w:val="009C4A07"/>
    <w:rsid w:val="009C4B8E"/>
    <w:rsid w:val="009C51D5"/>
    <w:rsid w:val="009C543C"/>
    <w:rsid w:val="009C599A"/>
    <w:rsid w:val="009C5EFF"/>
    <w:rsid w:val="009C650E"/>
    <w:rsid w:val="009C70DB"/>
    <w:rsid w:val="009C774A"/>
    <w:rsid w:val="009D19BC"/>
    <w:rsid w:val="009D1A33"/>
    <w:rsid w:val="009D2348"/>
    <w:rsid w:val="009D2EA8"/>
    <w:rsid w:val="009D2F0C"/>
    <w:rsid w:val="009D3306"/>
    <w:rsid w:val="009D3578"/>
    <w:rsid w:val="009D3A5F"/>
    <w:rsid w:val="009D4E01"/>
    <w:rsid w:val="009D4F88"/>
    <w:rsid w:val="009D5193"/>
    <w:rsid w:val="009D5B30"/>
    <w:rsid w:val="009D5C32"/>
    <w:rsid w:val="009D5C56"/>
    <w:rsid w:val="009D6472"/>
    <w:rsid w:val="009D79F4"/>
    <w:rsid w:val="009D7D19"/>
    <w:rsid w:val="009E126D"/>
    <w:rsid w:val="009E2AAD"/>
    <w:rsid w:val="009E2C8E"/>
    <w:rsid w:val="009E33D7"/>
    <w:rsid w:val="009E3AE7"/>
    <w:rsid w:val="009E3CD1"/>
    <w:rsid w:val="009E5520"/>
    <w:rsid w:val="009E5AF5"/>
    <w:rsid w:val="009E5EB5"/>
    <w:rsid w:val="009E74F0"/>
    <w:rsid w:val="009E77AD"/>
    <w:rsid w:val="009E7F23"/>
    <w:rsid w:val="009F0768"/>
    <w:rsid w:val="009F102A"/>
    <w:rsid w:val="009F151C"/>
    <w:rsid w:val="009F2A19"/>
    <w:rsid w:val="009F514E"/>
    <w:rsid w:val="009F6669"/>
    <w:rsid w:val="009F6D74"/>
    <w:rsid w:val="009F6F1D"/>
    <w:rsid w:val="009F7638"/>
    <w:rsid w:val="009F7867"/>
    <w:rsid w:val="009F7D66"/>
    <w:rsid w:val="00A00BD2"/>
    <w:rsid w:val="00A00E56"/>
    <w:rsid w:val="00A027F3"/>
    <w:rsid w:val="00A03641"/>
    <w:rsid w:val="00A03978"/>
    <w:rsid w:val="00A03AB1"/>
    <w:rsid w:val="00A04D7E"/>
    <w:rsid w:val="00A051D9"/>
    <w:rsid w:val="00A05D3B"/>
    <w:rsid w:val="00A05DF3"/>
    <w:rsid w:val="00A06AAD"/>
    <w:rsid w:val="00A07E08"/>
    <w:rsid w:val="00A10D79"/>
    <w:rsid w:val="00A11535"/>
    <w:rsid w:val="00A11E56"/>
    <w:rsid w:val="00A11FFC"/>
    <w:rsid w:val="00A12798"/>
    <w:rsid w:val="00A12AC3"/>
    <w:rsid w:val="00A13A09"/>
    <w:rsid w:val="00A145DE"/>
    <w:rsid w:val="00A153BE"/>
    <w:rsid w:val="00A15C08"/>
    <w:rsid w:val="00A15DEE"/>
    <w:rsid w:val="00A16462"/>
    <w:rsid w:val="00A167B5"/>
    <w:rsid w:val="00A16DBE"/>
    <w:rsid w:val="00A179E0"/>
    <w:rsid w:val="00A17C36"/>
    <w:rsid w:val="00A17C4F"/>
    <w:rsid w:val="00A20653"/>
    <w:rsid w:val="00A20A39"/>
    <w:rsid w:val="00A238BD"/>
    <w:rsid w:val="00A23DCA"/>
    <w:rsid w:val="00A240D8"/>
    <w:rsid w:val="00A243E4"/>
    <w:rsid w:val="00A2459D"/>
    <w:rsid w:val="00A24BB2"/>
    <w:rsid w:val="00A24E23"/>
    <w:rsid w:val="00A250D5"/>
    <w:rsid w:val="00A2566C"/>
    <w:rsid w:val="00A25F05"/>
    <w:rsid w:val="00A26491"/>
    <w:rsid w:val="00A27CBE"/>
    <w:rsid w:val="00A30583"/>
    <w:rsid w:val="00A30B2D"/>
    <w:rsid w:val="00A311AE"/>
    <w:rsid w:val="00A312A6"/>
    <w:rsid w:val="00A3130E"/>
    <w:rsid w:val="00A315B1"/>
    <w:rsid w:val="00A3193B"/>
    <w:rsid w:val="00A324CF"/>
    <w:rsid w:val="00A32E8B"/>
    <w:rsid w:val="00A32ED6"/>
    <w:rsid w:val="00A33518"/>
    <w:rsid w:val="00A33776"/>
    <w:rsid w:val="00A344A5"/>
    <w:rsid w:val="00A346C3"/>
    <w:rsid w:val="00A34D4A"/>
    <w:rsid w:val="00A36155"/>
    <w:rsid w:val="00A3629E"/>
    <w:rsid w:val="00A365AD"/>
    <w:rsid w:val="00A411F2"/>
    <w:rsid w:val="00A42A85"/>
    <w:rsid w:val="00A42D07"/>
    <w:rsid w:val="00A44B43"/>
    <w:rsid w:val="00A4503E"/>
    <w:rsid w:val="00A450C0"/>
    <w:rsid w:val="00A4516B"/>
    <w:rsid w:val="00A45468"/>
    <w:rsid w:val="00A471A8"/>
    <w:rsid w:val="00A4791B"/>
    <w:rsid w:val="00A508AC"/>
    <w:rsid w:val="00A50A48"/>
    <w:rsid w:val="00A51180"/>
    <w:rsid w:val="00A51242"/>
    <w:rsid w:val="00A51522"/>
    <w:rsid w:val="00A51573"/>
    <w:rsid w:val="00A51A5E"/>
    <w:rsid w:val="00A51EBF"/>
    <w:rsid w:val="00A5220B"/>
    <w:rsid w:val="00A52895"/>
    <w:rsid w:val="00A52D17"/>
    <w:rsid w:val="00A52D7D"/>
    <w:rsid w:val="00A539A5"/>
    <w:rsid w:val="00A53DA0"/>
    <w:rsid w:val="00A5404D"/>
    <w:rsid w:val="00A55538"/>
    <w:rsid w:val="00A555A7"/>
    <w:rsid w:val="00A5765D"/>
    <w:rsid w:val="00A579BD"/>
    <w:rsid w:val="00A607CB"/>
    <w:rsid w:val="00A60860"/>
    <w:rsid w:val="00A610AC"/>
    <w:rsid w:val="00A61DD9"/>
    <w:rsid w:val="00A62BC1"/>
    <w:rsid w:val="00A6351F"/>
    <w:rsid w:val="00A636A3"/>
    <w:rsid w:val="00A63809"/>
    <w:rsid w:val="00A64278"/>
    <w:rsid w:val="00A64434"/>
    <w:rsid w:val="00A64A6E"/>
    <w:rsid w:val="00A6519F"/>
    <w:rsid w:val="00A65931"/>
    <w:rsid w:val="00A65968"/>
    <w:rsid w:val="00A65A70"/>
    <w:rsid w:val="00A65E0B"/>
    <w:rsid w:val="00A6665F"/>
    <w:rsid w:val="00A66F36"/>
    <w:rsid w:val="00A676D9"/>
    <w:rsid w:val="00A67EFC"/>
    <w:rsid w:val="00A7031E"/>
    <w:rsid w:val="00A70AB1"/>
    <w:rsid w:val="00A71140"/>
    <w:rsid w:val="00A71CA2"/>
    <w:rsid w:val="00A7205E"/>
    <w:rsid w:val="00A74692"/>
    <w:rsid w:val="00A753B4"/>
    <w:rsid w:val="00A757F3"/>
    <w:rsid w:val="00A75A52"/>
    <w:rsid w:val="00A7618B"/>
    <w:rsid w:val="00A7640B"/>
    <w:rsid w:val="00A773A8"/>
    <w:rsid w:val="00A7778B"/>
    <w:rsid w:val="00A803BC"/>
    <w:rsid w:val="00A80969"/>
    <w:rsid w:val="00A84C67"/>
    <w:rsid w:val="00A85798"/>
    <w:rsid w:val="00A8609D"/>
    <w:rsid w:val="00A86EA7"/>
    <w:rsid w:val="00A90678"/>
    <w:rsid w:val="00A91244"/>
    <w:rsid w:val="00A91774"/>
    <w:rsid w:val="00A91C7F"/>
    <w:rsid w:val="00A92066"/>
    <w:rsid w:val="00A92776"/>
    <w:rsid w:val="00A93181"/>
    <w:rsid w:val="00A938E6"/>
    <w:rsid w:val="00A93CCF"/>
    <w:rsid w:val="00A93EC6"/>
    <w:rsid w:val="00A94028"/>
    <w:rsid w:val="00A94E4E"/>
    <w:rsid w:val="00A95514"/>
    <w:rsid w:val="00A95BD5"/>
    <w:rsid w:val="00A95C53"/>
    <w:rsid w:val="00A96F78"/>
    <w:rsid w:val="00A97713"/>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A7117"/>
    <w:rsid w:val="00AB0954"/>
    <w:rsid w:val="00AB0A32"/>
    <w:rsid w:val="00AB0B90"/>
    <w:rsid w:val="00AB0E56"/>
    <w:rsid w:val="00AB0ED5"/>
    <w:rsid w:val="00AB18AC"/>
    <w:rsid w:val="00AB1EB7"/>
    <w:rsid w:val="00AB3697"/>
    <w:rsid w:val="00AB3A15"/>
    <w:rsid w:val="00AB4ECC"/>
    <w:rsid w:val="00AB4F0F"/>
    <w:rsid w:val="00AB53E3"/>
    <w:rsid w:val="00AB60E2"/>
    <w:rsid w:val="00AB6601"/>
    <w:rsid w:val="00AB674E"/>
    <w:rsid w:val="00AB6D79"/>
    <w:rsid w:val="00AB6F7F"/>
    <w:rsid w:val="00AB709E"/>
    <w:rsid w:val="00AB7806"/>
    <w:rsid w:val="00AC02C1"/>
    <w:rsid w:val="00AC0464"/>
    <w:rsid w:val="00AC0AB6"/>
    <w:rsid w:val="00AC10AD"/>
    <w:rsid w:val="00AC1E55"/>
    <w:rsid w:val="00AC3D06"/>
    <w:rsid w:val="00AC429F"/>
    <w:rsid w:val="00AC60B4"/>
    <w:rsid w:val="00AC67B6"/>
    <w:rsid w:val="00AC7D98"/>
    <w:rsid w:val="00AD00C5"/>
    <w:rsid w:val="00AD165F"/>
    <w:rsid w:val="00AD2794"/>
    <w:rsid w:val="00AD2DC5"/>
    <w:rsid w:val="00AD3455"/>
    <w:rsid w:val="00AD34D0"/>
    <w:rsid w:val="00AD3CAD"/>
    <w:rsid w:val="00AD5A99"/>
    <w:rsid w:val="00AD69FF"/>
    <w:rsid w:val="00AD702B"/>
    <w:rsid w:val="00AD72E6"/>
    <w:rsid w:val="00AD7C95"/>
    <w:rsid w:val="00AD7FCD"/>
    <w:rsid w:val="00AE06D8"/>
    <w:rsid w:val="00AE2BED"/>
    <w:rsid w:val="00AE353E"/>
    <w:rsid w:val="00AE3DE1"/>
    <w:rsid w:val="00AE5439"/>
    <w:rsid w:val="00AE61B2"/>
    <w:rsid w:val="00AE78D1"/>
    <w:rsid w:val="00AE7F89"/>
    <w:rsid w:val="00AE7FDB"/>
    <w:rsid w:val="00AF2D54"/>
    <w:rsid w:val="00AF3458"/>
    <w:rsid w:val="00AF3F7B"/>
    <w:rsid w:val="00AF41F5"/>
    <w:rsid w:val="00AF42B4"/>
    <w:rsid w:val="00AF4B8A"/>
    <w:rsid w:val="00AF4F1B"/>
    <w:rsid w:val="00AF5EC6"/>
    <w:rsid w:val="00AF6899"/>
    <w:rsid w:val="00AF6C38"/>
    <w:rsid w:val="00AF6E8A"/>
    <w:rsid w:val="00AF7213"/>
    <w:rsid w:val="00AF7771"/>
    <w:rsid w:val="00AF7D92"/>
    <w:rsid w:val="00B0066F"/>
    <w:rsid w:val="00B011CC"/>
    <w:rsid w:val="00B04048"/>
    <w:rsid w:val="00B045CD"/>
    <w:rsid w:val="00B04F3D"/>
    <w:rsid w:val="00B05702"/>
    <w:rsid w:val="00B06DD9"/>
    <w:rsid w:val="00B06FE2"/>
    <w:rsid w:val="00B07CD6"/>
    <w:rsid w:val="00B07E52"/>
    <w:rsid w:val="00B10010"/>
    <w:rsid w:val="00B11775"/>
    <w:rsid w:val="00B12F75"/>
    <w:rsid w:val="00B1302D"/>
    <w:rsid w:val="00B13696"/>
    <w:rsid w:val="00B1513F"/>
    <w:rsid w:val="00B15B89"/>
    <w:rsid w:val="00B1746F"/>
    <w:rsid w:val="00B174E1"/>
    <w:rsid w:val="00B20725"/>
    <w:rsid w:val="00B2087E"/>
    <w:rsid w:val="00B20B11"/>
    <w:rsid w:val="00B20B94"/>
    <w:rsid w:val="00B21092"/>
    <w:rsid w:val="00B21D69"/>
    <w:rsid w:val="00B22E52"/>
    <w:rsid w:val="00B2307C"/>
    <w:rsid w:val="00B23101"/>
    <w:rsid w:val="00B248D0"/>
    <w:rsid w:val="00B24998"/>
    <w:rsid w:val="00B2628E"/>
    <w:rsid w:val="00B2632F"/>
    <w:rsid w:val="00B266B0"/>
    <w:rsid w:val="00B27921"/>
    <w:rsid w:val="00B27C0D"/>
    <w:rsid w:val="00B3000E"/>
    <w:rsid w:val="00B326A8"/>
    <w:rsid w:val="00B3291A"/>
    <w:rsid w:val="00B329EB"/>
    <w:rsid w:val="00B32FCD"/>
    <w:rsid w:val="00B33508"/>
    <w:rsid w:val="00B3377E"/>
    <w:rsid w:val="00B34E63"/>
    <w:rsid w:val="00B35DA4"/>
    <w:rsid w:val="00B36F27"/>
    <w:rsid w:val="00B371AE"/>
    <w:rsid w:val="00B40A96"/>
    <w:rsid w:val="00B41770"/>
    <w:rsid w:val="00B4184B"/>
    <w:rsid w:val="00B422A7"/>
    <w:rsid w:val="00B42A32"/>
    <w:rsid w:val="00B42FA6"/>
    <w:rsid w:val="00B4399E"/>
    <w:rsid w:val="00B43A16"/>
    <w:rsid w:val="00B451CF"/>
    <w:rsid w:val="00B45B8B"/>
    <w:rsid w:val="00B45CE1"/>
    <w:rsid w:val="00B45F03"/>
    <w:rsid w:val="00B46A75"/>
    <w:rsid w:val="00B470A7"/>
    <w:rsid w:val="00B47DB4"/>
    <w:rsid w:val="00B500CD"/>
    <w:rsid w:val="00B50C40"/>
    <w:rsid w:val="00B5109D"/>
    <w:rsid w:val="00B51BFC"/>
    <w:rsid w:val="00B5239C"/>
    <w:rsid w:val="00B53259"/>
    <w:rsid w:val="00B537B9"/>
    <w:rsid w:val="00B53893"/>
    <w:rsid w:val="00B548C2"/>
    <w:rsid w:val="00B54B6A"/>
    <w:rsid w:val="00B55428"/>
    <w:rsid w:val="00B56933"/>
    <w:rsid w:val="00B570BF"/>
    <w:rsid w:val="00B6027B"/>
    <w:rsid w:val="00B60471"/>
    <w:rsid w:val="00B60B8F"/>
    <w:rsid w:val="00B62174"/>
    <w:rsid w:val="00B625CC"/>
    <w:rsid w:val="00B628EF"/>
    <w:rsid w:val="00B63337"/>
    <w:rsid w:val="00B6369F"/>
    <w:rsid w:val="00B639D7"/>
    <w:rsid w:val="00B6462E"/>
    <w:rsid w:val="00B64AA7"/>
    <w:rsid w:val="00B65452"/>
    <w:rsid w:val="00B66594"/>
    <w:rsid w:val="00B67805"/>
    <w:rsid w:val="00B67F1C"/>
    <w:rsid w:val="00B701FE"/>
    <w:rsid w:val="00B721CD"/>
    <w:rsid w:val="00B7267A"/>
    <w:rsid w:val="00B726FF"/>
    <w:rsid w:val="00B72A5B"/>
    <w:rsid w:val="00B72AA4"/>
    <w:rsid w:val="00B72F90"/>
    <w:rsid w:val="00B73B94"/>
    <w:rsid w:val="00B75454"/>
    <w:rsid w:val="00B76BCD"/>
    <w:rsid w:val="00B76EE9"/>
    <w:rsid w:val="00B77231"/>
    <w:rsid w:val="00B77880"/>
    <w:rsid w:val="00B77B84"/>
    <w:rsid w:val="00B80D90"/>
    <w:rsid w:val="00B822F2"/>
    <w:rsid w:val="00B82613"/>
    <w:rsid w:val="00B828B5"/>
    <w:rsid w:val="00B82ED8"/>
    <w:rsid w:val="00B83E1B"/>
    <w:rsid w:val="00B845D0"/>
    <w:rsid w:val="00B84A80"/>
    <w:rsid w:val="00B84E9C"/>
    <w:rsid w:val="00B85522"/>
    <w:rsid w:val="00B90E2A"/>
    <w:rsid w:val="00B90F2A"/>
    <w:rsid w:val="00B91715"/>
    <w:rsid w:val="00B9198D"/>
    <w:rsid w:val="00B92D25"/>
    <w:rsid w:val="00B92F6E"/>
    <w:rsid w:val="00B93008"/>
    <w:rsid w:val="00B9307D"/>
    <w:rsid w:val="00B9406D"/>
    <w:rsid w:val="00B94BA7"/>
    <w:rsid w:val="00B94CC4"/>
    <w:rsid w:val="00B94E0E"/>
    <w:rsid w:val="00B96413"/>
    <w:rsid w:val="00B97CA3"/>
    <w:rsid w:val="00BA1104"/>
    <w:rsid w:val="00BA1872"/>
    <w:rsid w:val="00BA1913"/>
    <w:rsid w:val="00BA2BC9"/>
    <w:rsid w:val="00BA4641"/>
    <w:rsid w:val="00BA4A54"/>
    <w:rsid w:val="00BA6D2C"/>
    <w:rsid w:val="00BA7205"/>
    <w:rsid w:val="00BA76A9"/>
    <w:rsid w:val="00BA7D6B"/>
    <w:rsid w:val="00BB0595"/>
    <w:rsid w:val="00BB0F70"/>
    <w:rsid w:val="00BB1310"/>
    <w:rsid w:val="00BB2F36"/>
    <w:rsid w:val="00BB3E2B"/>
    <w:rsid w:val="00BB465D"/>
    <w:rsid w:val="00BB492C"/>
    <w:rsid w:val="00BB5D1C"/>
    <w:rsid w:val="00BB6552"/>
    <w:rsid w:val="00BB65E0"/>
    <w:rsid w:val="00BB6B9B"/>
    <w:rsid w:val="00BB6DFD"/>
    <w:rsid w:val="00BB754F"/>
    <w:rsid w:val="00BC0058"/>
    <w:rsid w:val="00BC07D4"/>
    <w:rsid w:val="00BC0A5D"/>
    <w:rsid w:val="00BC0BE3"/>
    <w:rsid w:val="00BC1AD9"/>
    <w:rsid w:val="00BC2BFB"/>
    <w:rsid w:val="00BC3257"/>
    <w:rsid w:val="00BC32E7"/>
    <w:rsid w:val="00BC4F81"/>
    <w:rsid w:val="00BC5670"/>
    <w:rsid w:val="00BC58B9"/>
    <w:rsid w:val="00BC61D6"/>
    <w:rsid w:val="00BC6DA0"/>
    <w:rsid w:val="00BC7E67"/>
    <w:rsid w:val="00BD0E6D"/>
    <w:rsid w:val="00BD2F13"/>
    <w:rsid w:val="00BD3056"/>
    <w:rsid w:val="00BD3846"/>
    <w:rsid w:val="00BD3B94"/>
    <w:rsid w:val="00BD3E68"/>
    <w:rsid w:val="00BD4E05"/>
    <w:rsid w:val="00BD598A"/>
    <w:rsid w:val="00BD5C7A"/>
    <w:rsid w:val="00BD723F"/>
    <w:rsid w:val="00BD75B4"/>
    <w:rsid w:val="00BD7D14"/>
    <w:rsid w:val="00BE02B4"/>
    <w:rsid w:val="00BE0D1F"/>
    <w:rsid w:val="00BE28C1"/>
    <w:rsid w:val="00BE3492"/>
    <w:rsid w:val="00BE3B62"/>
    <w:rsid w:val="00BE4EC9"/>
    <w:rsid w:val="00BE631E"/>
    <w:rsid w:val="00BE6BEC"/>
    <w:rsid w:val="00BF01F8"/>
    <w:rsid w:val="00BF0CCF"/>
    <w:rsid w:val="00BF0FC5"/>
    <w:rsid w:val="00BF10BC"/>
    <w:rsid w:val="00BF21AC"/>
    <w:rsid w:val="00BF2E53"/>
    <w:rsid w:val="00BF352A"/>
    <w:rsid w:val="00BF3669"/>
    <w:rsid w:val="00BF3C0D"/>
    <w:rsid w:val="00BF4BC7"/>
    <w:rsid w:val="00BF6252"/>
    <w:rsid w:val="00BF6AC5"/>
    <w:rsid w:val="00BF711C"/>
    <w:rsid w:val="00BF748E"/>
    <w:rsid w:val="00BF789B"/>
    <w:rsid w:val="00C00A1E"/>
    <w:rsid w:val="00C03309"/>
    <w:rsid w:val="00C037E0"/>
    <w:rsid w:val="00C04A19"/>
    <w:rsid w:val="00C04A38"/>
    <w:rsid w:val="00C05AB8"/>
    <w:rsid w:val="00C072FE"/>
    <w:rsid w:val="00C111E9"/>
    <w:rsid w:val="00C11ADE"/>
    <w:rsid w:val="00C126E0"/>
    <w:rsid w:val="00C128BC"/>
    <w:rsid w:val="00C12DAF"/>
    <w:rsid w:val="00C12E39"/>
    <w:rsid w:val="00C13D47"/>
    <w:rsid w:val="00C14164"/>
    <w:rsid w:val="00C14C53"/>
    <w:rsid w:val="00C15D8E"/>
    <w:rsid w:val="00C17012"/>
    <w:rsid w:val="00C178FB"/>
    <w:rsid w:val="00C17DF9"/>
    <w:rsid w:val="00C201EB"/>
    <w:rsid w:val="00C20983"/>
    <w:rsid w:val="00C20ACC"/>
    <w:rsid w:val="00C22B28"/>
    <w:rsid w:val="00C22FD2"/>
    <w:rsid w:val="00C238DA"/>
    <w:rsid w:val="00C257B7"/>
    <w:rsid w:val="00C26B89"/>
    <w:rsid w:val="00C272E8"/>
    <w:rsid w:val="00C301A9"/>
    <w:rsid w:val="00C30ABC"/>
    <w:rsid w:val="00C30B60"/>
    <w:rsid w:val="00C312F6"/>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47FFC"/>
    <w:rsid w:val="00C5099B"/>
    <w:rsid w:val="00C50A4E"/>
    <w:rsid w:val="00C51C37"/>
    <w:rsid w:val="00C520B1"/>
    <w:rsid w:val="00C522D6"/>
    <w:rsid w:val="00C52C52"/>
    <w:rsid w:val="00C54020"/>
    <w:rsid w:val="00C5406F"/>
    <w:rsid w:val="00C545C5"/>
    <w:rsid w:val="00C54817"/>
    <w:rsid w:val="00C54C15"/>
    <w:rsid w:val="00C54F35"/>
    <w:rsid w:val="00C55566"/>
    <w:rsid w:val="00C5777F"/>
    <w:rsid w:val="00C57A01"/>
    <w:rsid w:val="00C57A2D"/>
    <w:rsid w:val="00C57F36"/>
    <w:rsid w:val="00C60B07"/>
    <w:rsid w:val="00C61D4B"/>
    <w:rsid w:val="00C626A8"/>
    <w:rsid w:val="00C62B0A"/>
    <w:rsid w:val="00C63C52"/>
    <w:rsid w:val="00C63F08"/>
    <w:rsid w:val="00C64938"/>
    <w:rsid w:val="00C6528C"/>
    <w:rsid w:val="00C65D35"/>
    <w:rsid w:val="00C661E8"/>
    <w:rsid w:val="00C66242"/>
    <w:rsid w:val="00C70084"/>
    <w:rsid w:val="00C7090B"/>
    <w:rsid w:val="00C70B87"/>
    <w:rsid w:val="00C716E7"/>
    <w:rsid w:val="00C7235B"/>
    <w:rsid w:val="00C72E18"/>
    <w:rsid w:val="00C731AD"/>
    <w:rsid w:val="00C73577"/>
    <w:rsid w:val="00C7380B"/>
    <w:rsid w:val="00C74421"/>
    <w:rsid w:val="00C74B24"/>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9F"/>
    <w:rsid w:val="00C87DA6"/>
    <w:rsid w:val="00C90A3B"/>
    <w:rsid w:val="00C90AC1"/>
    <w:rsid w:val="00C90C71"/>
    <w:rsid w:val="00C91857"/>
    <w:rsid w:val="00C9213B"/>
    <w:rsid w:val="00C93462"/>
    <w:rsid w:val="00C94384"/>
    <w:rsid w:val="00C94A34"/>
    <w:rsid w:val="00C94C2B"/>
    <w:rsid w:val="00C94F73"/>
    <w:rsid w:val="00C95609"/>
    <w:rsid w:val="00C96F79"/>
    <w:rsid w:val="00C97CF9"/>
    <w:rsid w:val="00CA0334"/>
    <w:rsid w:val="00CA09E8"/>
    <w:rsid w:val="00CA17DD"/>
    <w:rsid w:val="00CA1863"/>
    <w:rsid w:val="00CA1941"/>
    <w:rsid w:val="00CA2113"/>
    <w:rsid w:val="00CA26CE"/>
    <w:rsid w:val="00CA391D"/>
    <w:rsid w:val="00CA3ACD"/>
    <w:rsid w:val="00CA4F8B"/>
    <w:rsid w:val="00CA5340"/>
    <w:rsid w:val="00CA5445"/>
    <w:rsid w:val="00CA5E19"/>
    <w:rsid w:val="00CB0007"/>
    <w:rsid w:val="00CB09DA"/>
    <w:rsid w:val="00CB0BD9"/>
    <w:rsid w:val="00CB0E15"/>
    <w:rsid w:val="00CB1867"/>
    <w:rsid w:val="00CB1CAC"/>
    <w:rsid w:val="00CB1DE8"/>
    <w:rsid w:val="00CB1E3B"/>
    <w:rsid w:val="00CB1F1D"/>
    <w:rsid w:val="00CB20CE"/>
    <w:rsid w:val="00CB6795"/>
    <w:rsid w:val="00CB6EAC"/>
    <w:rsid w:val="00CB71F8"/>
    <w:rsid w:val="00CC180A"/>
    <w:rsid w:val="00CC26DB"/>
    <w:rsid w:val="00CC300C"/>
    <w:rsid w:val="00CC35AE"/>
    <w:rsid w:val="00CC3DAA"/>
    <w:rsid w:val="00CC4C2C"/>
    <w:rsid w:val="00CC4E51"/>
    <w:rsid w:val="00CC5057"/>
    <w:rsid w:val="00CC7843"/>
    <w:rsid w:val="00CD078F"/>
    <w:rsid w:val="00CD121E"/>
    <w:rsid w:val="00CD185D"/>
    <w:rsid w:val="00CD23D4"/>
    <w:rsid w:val="00CD28F0"/>
    <w:rsid w:val="00CD3ED8"/>
    <w:rsid w:val="00CD497A"/>
    <w:rsid w:val="00CD7613"/>
    <w:rsid w:val="00CD761D"/>
    <w:rsid w:val="00CD76B5"/>
    <w:rsid w:val="00CD78B9"/>
    <w:rsid w:val="00CE1D01"/>
    <w:rsid w:val="00CE2323"/>
    <w:rsid w:val="00CE2346"/>
    <w:rsid w:val="00CE6F0F"/>
    <w:rsid w:val="00CE7CA8"/>
    <w:rsid w:val="00CF002F"/>
    <w:rsid w:val="00CF0246"/>
    <w:rsid w:val="00CF2483"/>
    <w:rsid w:val="00CF24E2"/>
    <w:rsid w:val="00CF393D"/>
    <w:rsid w:val="00CF4383"/>
    <w:rsid w:val="00CF4ABD"/>
    <w:rsid w:val="00CF4CF2"/>
    <w:rsid w:val="00CF5A53"/>
    <w:rsid w:val="00CF5D28"/>
    <w:rsid w:val="00CF5E36"/>
    <w:rsid w:val="00CF68B8"/>
    <w:rsid w:val="00CF6EAD"/>
    <w:rsid w:val="00CF6F1E"/>
    <w:rsid w:val="00CF76CE"/>
    <w:rsid w:val="00D001F9"/>
    <w:rsid w:val="00D0036E"/>
    <w:rsid w:val="00D00BB7"/>
    <w:rsid w:val="00D01EAD"/>
    <w:rsid w:val="00D035B9"/>
    <w:rsid w:val="00D040B7"/>
    <w:rsid w:val="00D04CFB"/>
    <w:rsid w:val="00D060FF"/>
    <w:rsid w:val="00D064E8"/>
    <w:rsid w:val="00D06546"/>
    <w:rsid w:val="00D06572"/>
    <w:rsid w:val="00D065CD"/>
    <w:rsid w:val="00D0724B"/>
    <w:rsid w:val="00D10573"/>
    <w:rsid w:val="00D12325"/>
    <w:rsid w:val="00D12761"/>
    <w:rsid w:val="00D14487"/>
    <w:rsid w:val="00D15E7E"/>
    <w:rsid w:val="00D16058"/>
    <w:rsid w:val="00D1684D"/>
    <w:rsid w:val="00D16C4D"/>
    <w:rsid w:val="00D16FDD"/>
    <w:rsid w:val="00D20016"/>
    <w:rsid w:val="00D207A7"/>
    <w:rsid w:val="00D2279F"/>
    <w:rsid w:val="00D22AF1"/>
    <w:rsid w:val="00D22E93"/>
    <w:rsid w:val="00D242DA"/>
    <w:rsid w:val="00D247EC"/>
    <w:rsid w:val="00D25A7F"/>
    <w:rsid w:val="00D26448"/>
    <w:rsid w:val="00D264CE"/>
    <w:rsid w:val="00D26670"/>
    <w:rsid w:val="00D2670E"/>
    <w:rsid w:val="00D26910"/>
    <w:rsid w:val="00D26F91"/>
    <w:rsid w:val="00D27B8B"/>
    <w:rsid w:val="00D2BB85"/>
    <w:rsid w:val="00D30CF0"/>
    <w:rsid w:val="00D31681"/>
    <w:rsid w:val="00D31773"/>
    <w:rsid w:val="00D3191C"/>
    <w:rsid w:val="00D31B6E"/>
    <w:rsid w:val="00D3232B"/>
    <w:rsid w:val="00D3239F"/>
    <w:rsid w:val="00D324A4"/>
    <w:rsid w:val="00D3250C"/>
    <w:rsid w:val="00D328F6"/>
    <w:rsid w:val="00D345D4"/>
    <w:rsid w:val="00D3462C"/>
    <w:rsid w:val="00D34DEB"/>
    <w:rsid w:val="00D3505C"/>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50F2"/>
    <w:rsid w:val="00D454DE"/>
    <w:rsid w:val="00D46111"/>
    <w:rsid w:val="00D462B0"/>
    <w:rsid w:val="00D464DE"/>
    <w:rsid w:val="00D4662F"/>
    <w:rsid w:val="00D46A4D"/>
    <w:rsid w:val="00D46F1B"/>
    <w:rsid w:val="00D475FB"/>
    <w:rsid w:val="00D47C16"/>
    <w:rsid w:val="00D502AF"/>
    <w:rsid w:val="00D50546"/>
    <w:rsid w:val="00D50764"/>
    <w:rsid w:val="00D50C12"/>
    <w:rsid w:val="00D51034"/>
    <w:rsid w:val="00D514A9"/>
    <w:rsid w:val="00D5188D"/>
    <w:rsid w:val="00D51A77"/>
    <w:rsid w:val="00D5267B"/>
    <w:rsid w:val="00D53649"/>
    <w:rsid w:val="00D53830"/>
    <w:rsid w:val="00D545C0"/>
    <w:rsid w:val="00D54FB3"/>
    <w:rsid w:val="00D55889"/>
    <w:rsid w:val="00D56B5F"/>
    <w:rsid w:val="00D57050"/>
    <w:rsid w:val="00D57A3F"/>
    <w:rsid w:val="00D57AF0"/>
    <w:rsid w:val="00D60457"/>
    <w:rsid w:val="00D61815"/>
    <w:rsid w:val="00D627E3"/>
    <w:rsid w:val="00D62ECD"/>
    <w:rsid w:val="00D64426"/>
    <w:rsid w:val="00D64475"/>
    <w:rsid w:val="00D64A2A"/>
    <w:rsid w:val="00D65D78"/>
    <w:rsid w:val="00D66AAA"/>
    <w:rsid w:val="00D66B04"/>
    <w:rsid w:val="00D67BC5"/>
    <w:rsid w:val="00D7006E"/>
    <w:rsid w:val="00D7021B"/>
    <w:rsid w:val="00D70D33"/>
    <w:rsid w:val="00D70ECB"/>
    <w:rsid w:val="00D71862"/>
    <w:rsid w:val="00D71E7F"/>
    <w:rsid w:val="00D71FBA"/>
    <w:rsid w:val="00D7239B"/>
    <w:rsid w:val="00D73077"/>
    <w:rsid w:val="00D736A2"/>
    <w:rsid w:val="00D73C57"/>
    <w:rsid w:val="00D742FF"/>
    <w:rsid w:val="00D749EE"/>
    <w:rsid w:val="00D753AA"/>
    <w:rsid w:val="00D758B3"/>
    <w:rsid w:val="00D76ADC"/>
    <w:rsid w:val="00D77413"/>
    <w:rsid w:val="00D80B04"/>
    <w:rsid w:val="00D81F10"/>
    <w:rsid w:val="00D82798"/>
    <w:rsid w:val="00D82BF2"/>
    <w:rsid w:val="00D832FF"/>
    <w:rsid w:val="00D8427C"/>
    <w:rsid w:val="00D84A57"/>
    <w:rsid w:val="00D84F53"/>
    <w:rsid w:val="00D87307"/>
    <w:rsid w:val="00D874DF"/>
    <w:rsid w:val="00D87A12"/>
    <w:rsid w:val="00D90A29"/>
    <w:rsid w:val="00D92351"/>
    <w:rsid w:val="00D930E1"/>
    <w:rsid w:val="00D9354D"/>
    <w:rsid w:val="00D93958"/>
    <w:rsid w:val="00D9415C"/>
    <w:rsid w:val="00D942CC"/>
    <w:rsid w:val="00D944E4"/>
    <w:rsid w:val="00D94D87"/>
    <w:rsid w:val="00D95B31"/>
    <w:rsid w:val="00D95DCC"/>
    <w:rsid w:val="00D962DC"/>
    <w:rsid w:val="00D9648D"/>
    <w:rsid w:val="00D96CA2"/>
    <w:rsid w:val="00D97186"/>
    <w:rsid w:val="00DA180C"/>
    <w:rsid w:val="00DA18A2"/>
    <w:rsid w:val="00DA3070"/>
    <w:rsid w:val="00DA3CD0"/>
    <w:rsid w:val="00DA3E7B"/>
    <w:rsid w:val="00DA3F17"/>
    <w:rsid w:val="00DA418E"/>
    <w:rsid w:val="00DA4419"/>
    <w:rsid w:val="00DA451D"/>
    <w:rsid w:val="00DA470D"/>
    <w:rsid w:val="00DA4A78"/>
    <w:rsid w:val="00DA4CC5"/>
    <w:rsid w:val="00DA56DB"/>
    <w:rsid w:val="00DA6452"/>
    <w:rsid w:val="00DA6AEF"/>
    <w:rsid w:val="00DA6FE9"/>
    <w:rsid w:val="00DA7508"/>
    <w:rsid w:val="00DA7925"/>
    <w:rsid w:val="00DA7BFF"/>
    <w:rsid w:val="00DB0310"/>
    <w:rsid w:val="00DB031E"/>
    <w:rsid w:val="00DB040B"/>
    <w:rsid w:val="00DB0AB8"/>
    <w:rsid w:val="00DB0D2A"/>
    <w:rsid w:val="00DB10EA"/>
    <w:rsid w:val="00DB11CD"/>
    <w:rsid w:val="00DB1C44"/>
    <w:rsid w:val="00DB1DAB"/>
    <w:rsid w:val="00DB39D4"/>
    <w:rsid w:val="00DB3A47"/>
    <w:rsid w:val="00DB46D0"/>
    <w:rsid w:val="00DB46DF"/>
    <w:rsid w:val="00DB49B6"/>
    <w:rsid w:val="00DB4E06"/>
    <w:rsid w:val="00DB651D"/>
    <w:rsid w:val="00DB6A80"/>
    <w:rsid w:val="00DB6C06"/>
    <w:rsid w:val="00DB7B06"/>
    <w:rsid w:val="00DC043D"/>
    <w:rsid w:val="00DC318A"/>
    <w:rsid w:val="00DC374A"/>
    <w:rsid w:val="00DC3A9D"/>
    <w:rsid w:val="00DC4004"/>
    <w:rsid w:val="00DC4243"/>
    <w:rsid w:val="00DC5584"/>
    <w:rsid w:val="00DC5C1B"/>
    <w:rsid w:val="00DC617A"/>
    <w:rsid w:val="00DC6C1E"/>
    <w:rsid w:val="00DC7255"/>
    <w:rsid w:val="00DC72CE"/>
    <w:rsid w:val="00DC7951"/>
    <w:rsid w:val="00DD04BA"/>
    <w:rsid w:val="00DD1C4B"/>
    <w:rsid w:val="00DD1F7B"/>
    <w:rsid w:val="00DD229E"/>
    <w:rsid w:val="00DD3029"/>
    <w:rsid w:val="00DD4847"/>
    <w:rsid w:val="00DD49C7"/>
    <w:rsid w:val="00DD50FA"/>
    <w:rsid w:val="00DD55E0"/>
    <w:rsid w:val="00DE18A3"/>
    <w:rsid w:val="00DE1904"/>
    <w:rsid w:val="00DE1CF6"/>
    <w:rsid w:val="00DE1DAA"/>
    <w:rsid w:val="00DE3DBB"/>
    <w:rsid w:val="00DE43A2"/>
    <w:rsid w:val="00DE4A74"/>
    <w:rsid w:val="00DE4B05"/>
    <w:rsid w:val="00DE4EE9"/>
    <w:rsid w:val="00DE541C"/>
    <w:rsid w:val="00DE737B"/>
    <w:rsid w:val="00DE74D4"/>
    <w:rsid w:val="00DF100B"/>
    <w:rsid w:val="00DF11B7"/>
    <w:rsid w:val="00DF4359"/>
    <w:rsid w:val="00DF5E14"/>
    <w:rsid w:val="00DF60C2"/>
    <w:rsid w:val="00DF73C1"/>
    <w:rsid w:val="00DF7511"/>
    <w:rsid w:val="00DF7751"/>
    <w:rsid w:val="00DF7F09"/>
    <w:rsid w:val="00E009B1"/>
    <w:rsid w:val="00E00BC3"/>
    <w:rsid w:val="00E011D7"/>
    <w:rsid w:val="00E031BB"/>
    <w:rsid w:val="00E0417B"/>
    <w:rsid w:val="00E0576C"/>
    <w:rsid w:val="00E06271"/>
    <w:rsid w:val="00E068BC"/>
    <w:rsid w:val="00E073F0"/>
    <w:rsid w:val="00E10761"/>
    <w:rsid w:val="00E11D7A"/>
    <w:rsid w:val="00E11EEB"/>
    <w:rsid w:val="00E128F2"/>
    <w:rsid w:val="00E132A1"/>
    <w:rsid w:val="00E1393F"/>
    <w:rsid w:val="00E13E5A"/>
    <w:rsid w:val="00E13EE4"/>
    <w:rsid w:val="00E145E2"/>
    <w:rsid w:val="00E16463"/>
    <w:rsid w:val="00E16F82"/>
    <w:rsid w:val="00E173EE"/>
    <w:rsid w:val="00E17F6F"/>
    <w:rsid w:val="00E20B20"/>
    <w:rsid w:val="00E214C2"/>
    <w:rsid w:val="00E22321"/>
    <w:rsid w:val="00E232AA"/>
    <w:rsid w:val="00E239D1"/>
    <w:rsid w:val="00E243D9"/>
    <w:rsid w:val="00E246B9"/>
    <w:rsid w:val="00E24850"/>
    <w:rsid w:val="00E250C5"/>
    <w:rsid w:val="00E25411"/>
    <w:rsid w:val="00E26727"/>
    <w:rsid w:val="00E26970"/>
    <w:rsid w:val="00E2728F"/>
    <w:rsid w:val="00E27791"/>
    <w:rsid w:val="00E30F2D"/>
    <w:rsid w:val="00E319DB"/>
    <w:rsid w:val="00E31AFC"/>
    <w:rsid w:val="00E3250F"/>
    <w:rsid w:val="00E328A3"/>
    <w:rsid w:val="00E329D9"/>
    <w:rsid w:val="00E3409E"/>
    <w:rsid w:val="00E34F76"/>
    <w:rsid w:val="00E37BE5"/>
    <w:rsid w:val="00E4014E"/>
    <w:rsid w:val="00E41A27"/>
    <w:rsid w:val="00E41AB4"/>
    <w:rsid w:val="00E42737"/>
    <w:rsid w:val="00E44906"/>
    <w:rsid w:val="00E45C77"/>
    <w:rsid w:val="00E4608B"/>
    <w:rsid w:val="00E46D7F"/>
    <w:rsid w:val="00E50017"/>
    <w:rsid w:val="00E501D3"/>
    <w:rsid w:val="00E50356"/>
    <w:rsid w:val="00E52EDD"/>
    <w:rsid w:val="00E53A01"/>
    <w:rsid w:val="00E564C4"/>
    <w:rsid w:val="00E567C9"/>
    <w:rsid w:val="00E57E1A"/>
    <w:rsid w:val="00E57F6F"/>
    <w:rsid w:val="00E604C4"/>
    <w:rsid w:val="00E60809"/>
    <w:rsid w:val="00E61300"/>
    <w:rsid w:val="00E61951"/>
    <w:rsid w:val="00E635B9"/>
    <w:rsid w:val="00E63F0D"/>
    <w:rsid w:val="00E64E97"/>
    <w:rsid w:val="00E65D15"/>
    <w:rsid w:val="00E660FE"/>
    <w:rsid w:val="00E6671E"/>
    <w:rsid w:val="00E66CD8"/>
    <w:rsid w:val="00E6748F"/>
    <w:rsid w:val="00E67802"/>
    <w:rsid w:val="00E67EE5"/>
    <w:rsid w:val="00E7013A"/>
    <w:rsid w:val="00E70B63"/>
    <w:rsid w:val="00E72C6B"/>
    <w:rsid w:val="00E73AB7"/>
    <w:rsid w:val="00E7496C"/>
    <w:rsid w:val="00E74F5D"/>
    <w:rsid w:val="00E75BDC"/>
    <w:rsid w:val="00E76034"/>
    <w:rsid w:val="00E80440"/>
    <w:rsid w:val="00E80595"/>
    <w:rsid w:val="00E817E0"/>
    <w:rsid w:val="00E8188C"/>
    <w:rsid w:val="00E81B43"/>
    <w:rsid w:val="00E82EE4"/>
    <w:rsid w:val="00E831E7"/>
    <w:rsid w:val="00E843B5"/>
    <w:rsid w:val="00E84A3B"/>
    <w:rsid w:val="00E85307"/>
    <w:rsid w:val="00E85B0A"/>
    <w:rsid w:val="00E87742"/>
    <w:rsid w:val="00E90773"/>
    <w:rsid w:val="00E907E4"/>
    <w:rsid w:val="00E90A24"/>
    <w:rsid w:val="00E90C34"/>
    <w:rsid w:val="00E919AC"/>
    <w:rsid w:val="00E9321C"/>
    <w:rsid w:val="00E93499"/>
    <w:rsid w:val="00E93CB3"/>
    <w:rsid w:val="00E946A6"/>
    <w:rsid w:val="00E947E4"/>
    <w:rsid w:val="00E9480A"/>
    <w:rsid w:val="00E95985"/>
    <w:rsid w:val="00E9616B"/>
    <w:rsid w:val="00E96A29"/>
    <w:rsid w:val="00E96B28"/>
    <w:rsid w:val="00E96FE6"/>
    <w:rsid w:val="00E9719A"/>
    <w:rsid w:val="00E973A1"/>
    <w:rsid w:val="00EA0F54"/>
    <w:rsid w:val="00EA1059"/>
    <w:rsid w:val="00EA194D"/>
    <w:rsid w:val="00EA1D43"/>
    <w:rsid w:val="00EA2015"/>
    <w:rsid w:val="00EA4C04"/>
    <w:rsid w:val="00EA4EC9"/>
    <w:rsid w:val="00EA568E"/>
    <w:rsid w:val="00EA5E0F"/>
    <w:rsid w:val="00EA67AC"/>
    <w:rsid w:val="00EA6FE4"/>
    <w:rsid w:val="00EA798D"/>
    <w:rsid w:val="00EA7F4C"/>
    <w:rsid w:val="00EB1104"/>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5F0"/>
    <w:rsid w:val="00ED27C3"/>
    <w:rsid w:val="00ED2AE2"/>
    <w:rsid w:val="00ED2C5A"/>
    <w:rsid w:val="00ED33AE"/>
    <w:rsid w:val="00ED3775"/>
    <w:rsid w:val="00ED3FE4"/>
    <w:rsid w:val="00ED47D7"/>
    <w:rsid w:val="00ED4A6D"/>
    <w:rsid w:val="00ED6D4A"/>
    <w:rsid w:val="00ED721A"/>
    <w:rsid w:val="00ED738C"/>
    <w:rsid w:val="00ED7918"/>
    <w:rsid w:val="00ED7FD3"/>
    <w:rsid w:val="00EE0E5D"/>
    <w:rsid w:val="00EE11C2"/>
    <w:rsid w:val="00EE13D0"/>
    <w:rsid w:val="00EE2A61"/>
    <w:rsid w:val="00EE3663"/>
    <w:rsid w:val="00EE41C4"/>
    <w:rsid w:val="00EE57C6"/>
    <w:rsid w:val="00EE5A27"/>
    <w:rsid w:val="00EE6E77"/>
    <w:rsid w:val="00EE76A9"/>
    <w:rsid w:val="00EE799E"/>
    <w:rsid w:val="00EE7CA8"/>
    <w:rsid w:val="00EE7FA7"/>
    <w:rsid w:val="00EF0322"/>
    <w:rsid w:val="00EF04C0"/>
    <w:rsid w:val="00EF1093"/>
    <w:rsid w:val="00EF1FCB"/>
    <w:rsid w:val="00EF21C3"/>
    <w:rsid w:val="00EF2C14"/>
    <w:rsid w:val="00EF2E6B"/>
    <w:rsid w:val="00EF54D1"/>
    <w:rsid w:val="00EF67BB"/>
    <w:rsid w:val="00EF72F9"/>
    <w:rsid w:val="00F0021E"/>
    <w:rsid w:val="00F0030E"/>
    <w:rsid w:val="00F00B80"/>
    <w:rsid w:val="00F00CD1"/>
    <w:rsid w:val="00F01E6B"/>
    <w:rsid w:val="00F0241C"/>
    <w:rsid w:val="00F031EE"/>
    <w:rsid w:val="00F04AA5"/>
    <w:rsid w:val="00F0552D"/>
    <w:rsid w:val="00F05759"/>
    <w:rsid w:val="00F064EC"/>
    <w:rsid w:val="00F07F39"/>
    <w:rsid w:val="00F10CB9"/>
    <w:rsid w:val="00F110CD"/>
    <w:rsid w:val="00F110D5"/>
    <w:rsid w:val="00F1129D"/>
    <w:rsid w:val="00F12351"/>
    <w:rsid w:val="00F129DE"/>
    <w:rsid w:val="00F12A56"/>
    <w:rsid w:val="00F15193"/>
    <w:rsid w:val="00F15778"/>
    <w:rsid w:val="00F16185"/>
    <w:rsid w:val="00F16739"/>
    <w:rsid w:val="00F16DE2"/>
    <w:rsid w:val="00F2052B"/>
    <w:rsid w:val="00F22183"/>
    <w:rsid w:val="00F2260F"/>
    <w:rsid w:val="00F242AD"/>
    <w:rsid w:val="00F247F2"/>
    <w:rsid w:val="00F2518F"/>
    <w:rsid w:val="00F252A8"/>
    <w:rsid w:val="00F255D9"/>
    <w:rsid w:val="00F262DA"/>
    <w:rsid w:val="00F265F7"/>
    <w:rsid w:val="00F27FA6"/>
    <w:rsid w:val="00F32E99"/>
    <w:rsid w:val="00F33908"/>
    <w:rsid w:val="00F33D2A"/>
    <w:rsid w:val="00F33DC8"/>
    <w:rsid w:val="00F34444"/>
    <w:rsid w:val="00F35149"/>
    <w:rsid w:val="00F355A7"/>
    <w:rsid w:val="00F35703"/>
    <w:rsid w:val="00F378F1"/>
    <w:rsid w:val="00F403A1"/>
    <w:rsid w:val="00F403DB"/>
    <w:rsid w:val="00F4065A"/>
    <w:rsid w:val="00F4275C"/>
    <w:rsid w:val="00F42AED"/>
    <w:rsid w:val="00F42FD9"/>
    <w:rsid w:val="00F434B2"/>
    <w:rsid w:val="00F45693"/>
    <w:rsid w:val="00F4584E"/>
    <w:rsid w:val="00F46587"/>
    <w:rsid w:val="00F510FC"/>
    <w:rsid w:val="00F52339"/>
    <w:rsid w:val="00F5277A"/>
    <w:rsid w:val="00F532E8"/>
    <w:rsid w:val="00F53620"/>
    <w:rsid w:val="00F537FF"/>
    <w:rsid w:val="00F54A1D"/>
    <w:rsid w:val="00F54DA4"/>
    <w:rsid w:val="00F54E36"/>
    <w:rsid w:val="00F553C2"/>
    <w:rsid w:val="00F560FE"/>
    <w:rsid w:val="00F57D1A"/>
    <w:rsid w:val="00F60CD6"/>
    <w:rsid w:val="00F6111C"/>
    <w:rsid w:val="00F614C0"/>
    <w:rsid w:val="00F61647"/>
    <w:rsid w:val="00F62D6B"/>
    <w:rsid w:val="00F64279"/>
    <w:rsid w:val="00F65495"/>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28E"/>
    <w:rsid w:val="00F81387"/>
    <w:rsid w:val="00F82134"/>
    <w:rsid w:val="00F822E3"/>
    <w:rsid w:val="00F82866"/>
    <w:rsid w:val="00F841FB"/>
    <w:rsid w:val="00F84421"/>
    <w:rsid w:val="00F8449B"/>
    <w:rsid w:val="00F84B44"/>
    <w:rsid w:val="00F85691"/>
    <w:rsid w:val="00F87032"/>
    <w:rsid w:val="00F87094"/>
    <w:rsid w:val="00F87AB3"/>
    <w:rsid w:val="00F87DD7"/>
    <w:rsid w:val="00F90781"/>
    <w:rsid w:val="00F90BAD"/>
    <w:rsid w:val="00F913DC"/>
    <w:rsid w:val="00F91DDA"/>
    <w:rsid w:val="00F9258B"/>
    <w:rsid w:val="00F92FBA"/>
    <w:rsid w:val="00F9397A"/>
    <w:rsid w:val="00F93A37"/>
    <w:rsid w:val="00F94182"/>
    <w:rsid w:val="00F9431F"/>
    <w:rsid w:val="00F944D9"/>
    <w:rsid w:val="00F94DB3"/>
    <w:rsid w:val="00F9596A"/>
    <w:rsid w:val="00F96500"/>
    <w:rsid w:val="00FA08C6"/>
    <w:rsid w:val="00FA11D5"/>
    <w:rsid w:val="00FA27E4"/>
    <w:rsid w:val="00FA2C35"/>
    <w:rsid w:val="00FA31E7"/>
    <w:rsid w:val="00FA405D"/>
    <w:rsid w:val="00FA413A"/>
    <w:rsid w:val="00FA4144"/>
    <w:rsid w:val="00FA4DDF"/>
    <w:rsid w:val="00FA5C71"/>
    <w:rsid w:val="00FA645E"/>
    <w:rsid w:val="00FA6A01"/>
    <w:rsid w:val="00FA6E7F"/>
    <w:rsid w:val="00FA7114"/>
    <w:rsid w:val="00FA7BC2"/>
    <w:rsid w:val="00FB052D"/>
    <w:rsid w:val="00FB22D7"/>
    <w:rsid w:val="00FB2379"/>
    <w:rsid w:val="00FB3CB7"/>
    <w:rsid w:val="00FB4610"/>
    <w:rsid w:val="00FB4B8A"/>
    <w:rsid w:val="00FB5152"/>
    <w:rsid w:val="00FB51D5"/>
    <w:rsid w:val="00FB5F8F"/>
    <w:rsid w:val="00FB680E"/>
    <w:rsid w:val="00FB6B73"/>
    <w:rsid w:val="00FB7A0B"/>
    <w:rsid w:val="00FC0065"/>
    <w:rsid w:val="00FC062F"/>
    <w:rsid w:val="00FC0754"/>
    <w:rsid w:val="00FC3AEE"/>
    <w:rsid w:val="00FC42DE"/>
    <w:rsid w:val="00FC6238"/>
    <w:rsid w:val="00FC7951"/>
    <w:rsid w:val="00FC7EAE"/>
    <w:rsid w:val="00FD236B"/>
    <w:rsid w:val="00FD2785"/>
    <w:rsid w:val="00FD33FC"/>
    <w:rsid w:val="00FD36DC"/>
    <w:rsid w:val="00FD3730"/>
    <w:rsid w:val="00FD3ADE"/>
    <w:rsid w:val="00FD3B08"/>
    <w:rsid w:val="00FD4806"/>
    <w:rsid w:val="00FD4BA4"/>
    <w:rsid w:val="00FD50C0"/>
    <w:rsid w:val="00FD534E"/>
    <w:rsid w:val="00FD56C7"/>
    <w:rsid w:val="00FD59ED"/>
    <w:rsid w:val="00FD5CBB"/>
    <w:rsid w:val="00FD6564"/>
    <w:rsid w:val="00FD6B74"/>
    <w:rsid w:val="00FD70AE"/>
    <w:rsid w:val="00FE002E"/>
    <w:rsid w:val="00FE2398"/>
    <w:rsid w:val="00FE43FB"/>
    <w:rsid w:val="00FE4EEE"/>
    <w:rsid w:val="00FE515A"/>
    <w:rsid w:val="00FE5421"/>
    <w:rsid w:val="00FE5624"/>
    <w:rsid w:val="00FE5D2C"/>
    <w:rsid w:val="00FE5FBF"/>
    <w:rsid w:val="00FE6C25"/>
    <w:rsid w:val="00FF033A"/>
    <w:rsid w:val="00FF0964"/>
    <w:rsid w:val="00FF0F67"/>
    <w:rsid w:val="00FF16F2"/>
    <w:rsid w:val="00FF1F9B"/>
    <w:rsid w:val="00FF2B42"/>
    <w:rsid w:val="00FF2D5B"/>
    <w:rsid w:val="00FF2FB7"/>
    <w:rsid w:val="00FF3B7F"/>
    <w:rsid w:val="00FF4F92"/>
    <w:rsid w:val="00FF54EB"/>
    <w:rsid w:val="00FF6822"/>
    <w:rsid w:val="00FF73D0"/>
    <w:rsid w:val="09942152"/>
    <w:rsid w:val="0EEE582A"/>
    <w:rsid w:val="10E807B4"/>
    <w:rsid w:val="132143C3"/>
    <w:rsid w:val="141204DA"/>
    <w:rsid w:val="16512788"/>
    <w:rsid w:val="17F4B4E6"/>
    <w:rsid w:val="19449DEC"/>
    <w:rsid w:val="1991FF5D"/>
    <w:rsid w:val="1A219784"/>
    <w:rsid w:val="1AA4F87B"/>
    <w:rsid w:val="1B783D03"/>
    <w:rsid w:val="2424D18C"/>
    <w:rsid w:val="2B86CEC1"/>
    <w:rsid w:val="2B9E6DAF"/>
    <w:rsid w:val="32975CEE"/>
    <w:rsid w:val="3B7A6533"/>
    <w:rsid w:val="3E61DC49"/>
    <w:rsid w:val="42379D1E"/>
    <w:rsid w:val="4349BD76"/>
    <w:rsid w:val="43DB3338"/>
    <w:rsid w:val="4B3F669F"/>
    <w:rsid w:val="4B845D8E"/>
    <w:rsid w:val="515088D7"/>
    <w:rsid w:val="53C8DCA0"/>
    <w:rsid w:val="5774F064"/>
    <w:rsid w:val="599FFA33"/>
    <w:rsid w:val="5A499C33"/>
    <w:rsid w:val="5B61D7AA"/>
    <w:rsid w:val="5CC9996E"/>
    <w:rsid w:val="61492489"/>
    <w:rsid w:val="65B81D6C"/>
    <w:rsid w:val="67154FD2"/>
    <w:rsid w:val="672D493F"/>
    <w:rsid w:val="79FFFDDF"/>
    <w:rsid w:val="7D9BB23A"/>
    <w:rsid w:val="7FA879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F0EEF263-50AB-4303-A586-D590C9E39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uiPriority w:val="99"/>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바탕"/>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uiPriority w:val="99"/>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바탕"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NChar">
    <w:name w:val="TAN Char"/>
    <w:link w:val="TAN"/>
    <w:qFormat/>
    <w:rsid w:val="00584FE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0079880">
      <w:bodyDiv w:val="1"/>
      <w:marLeft w:val="0"/>
      <w:marRight w:val="0"/>
      <w:marTop w:val="0"/>
      <w:marBottom w:val="0"/>
      <w:divBdr>
        <w:top w:val="none" w:sz="0" w:space="0" w:color="auto"/>
        <w:left w:val="none" w:sz="0" w:space="0" w:color="auto"/>
        <w:bottom w:val="none" w:sz="0" w:space="0" w:color="auto"/>
        <w:right w:val="none" w:sz="0" w:space="0" w:color="auto"/>
      </w:divBdr>
      <w:divsChild>
        <w:div w:id="157617260">
          <w:marLeft w:val="0"/>
          <w:marRight w:val="0"/>
          <w:marTop w:val="0"/>
          <w:marBottom w:val="0"/>
          <w:divBdr>
            <w:top w:val="none" w:sz="0" w:space="0" w:color="auto"/>
            <w:left w:val="none" w:sz="0" w:space="0" w:color="auto"/>
            <w:bottom w:val="none" w:sz="0" w:space="0" w:color="auto"/>
            <w:right w:val="none" w:sz="0" w:space="0" w:color="auto"/>
          </w:divBdr>
        </w:div>
        <w:div w:id="486291347">
          <w:marLeft w:val="0"/>
          <w:marRight w:val="0"/>
          <w:marTop w:val="0"/>
          <w:marBottom w:val="0"/>
          <w:divBdr>
            <w:top w:val="none" w:sz="0" w:space="0" w:color="auto"/>
            <w:left w:val="none" w:sz="0" w:space="0" w:color="auto"/>
            <w:bottom w:val="none" w:sz="0" w:space="0" w:color="auto"/>
            <w:right w:val="none" w:sz="0" w:space="0" w:color="auto"/>
          </w:divBdr>
        </w:div>
        <w:div w:id="1245342040">
          <w:marLeft w:val="0"/>
          <w:marRight w:val="0"/>
          <w:marTop w:val="0"/>
          <w:marBottom w:val="0"/>
          <w:divBdr>
            <w:top w:val="none" w:sz="0" w:space="0" w:color="auto"/>
            <w:left w:val="none" w:sz="0" w:space="0" w:color="auto"/>
            <w:bottom w:val="none" w:sz="0" w:space="0" w:color="auto"/>
            <w:right w:val="none" w:sz="0" w:space="0" w:color="auto"/>
          </w:divBdr>
          <w:divsChild>
            <w:div w:id="140541922">
              <w:marLeft w:val="0"/>
              <w:marRight w:val="0"/>
              <w:marTop w:val="0"/>
              <w:marBottom w:val="0"/>
              <w:divBdr>
                <w:top w:val="none" w:sz="0" w:space="0" w:color="auto"/>
                <w:left w:val="none" w:sz="0" w:space="0" w:color="auto"/>
                <w:bottom w:val="none" w:sz="0" w:space="0" w:color="auto"/>
                <w:right w:val="none" w:sz="0" w:space="0" w:color="auto"/>
              </w:divBdr>
            </w:div>
            <w:div w:id="568225065">
              <w:marLeft w:val="0"/>
              <w:marRight w:val="0"/>
              <w:marTop w:val="0"/>
              <w:marBottom w:val="0"/>
              <w:divBdr>
                <w:top w:val="none" w:sz="0" w:space="0" w:color="auto"/>
                <w:left w:val="none" w:sz="0" w:space="0" w:color="auto"/>
                <w:bottom w:val="none" w:sz="0" w:space="0" w:color="auto"/>
                <w:right w:val="none" w:sz="0" w:space="0" w:color="auto"/>
              </w:divBdr>
            </w:div>
            <w:div w:id="657731421">
              <w:marLeft w:val="0"/>
              <w:marRight w:val="0"/>
              <w:marTop w:val="0"/>
              <w:marBottom w:val="0"/>
              <w:divBdr>
                <w:top w:val="none" w:sz="0" w:space="0" w:color="auto"/>
                <w:left w:val="none" w:sz="0" w:space="0" w:color="auto"/>
                <w:bottom w:val="none" w:sz="0" w:space="0" w:color="auto"/>
                <w:right w:val="none" w:sz="0" w:space="0" w:color="auto"/>
              </w:divBdr>
            </w:div>
            <w:div w:id="689453449">
              <w:marLeft w:val="0"/>
              <w:marRight w:val="0"/>
              <w:marTop w:val="0"/>
              <w:marBottom w:val="0"/>
              <w:divBdr>
                <w:top w:val="none" w:sz="0" w:space="0" w:color="auto"/>
                <w:left w:val="none" w:sz="0" w:space="0" w:color="auto"/>
                <w:bottom w:val="none" w:sz="0" w:space="0" w:color="auto"/>
                <w:right w:val="none" w:sz="0" w:space="0" w:color="auto"/>
              </w:divBdr>
            </w:div>
            <w:div w:id="1280144541">
              <w:marLeft w:val="0"/>
              <w:marRight w:val="0"/>
              <w:marTop w:val="0"/>
              <w:marBottom w:val="0"/>
              <w:divBdr>
                <w:top w:val="none" w:sz="0" w:space="0" w:color="auto"/>
                <w:left w:val="none" w:sz="0" w:space="0" w:color="auto"/>
                <w:bottom w:val="none" w:sz="0" w:space="0" w:color="auto"/>
                <w:right w:val="none" w:sz="0" w:space="0" w:color="auto"/>
              </w:divBdr>
            </w:div>
            <w:div w:id="1701081782">
              <w:marLeft w:val="0"/>
              <w:marRight w:val="0"/>
              <w:marTop w:val="0"/>
              <w:marBottom w:val="0"/>
              <w:divBdr>
                <w:top w:val="none" w:sz="0" w:space="0" w:color="auto"/>
                <w:left w:val="none" w:sz="0" w:space="0" w:color="auto"/>
                <w:bottom w:val="none" w:sz="0" w:space="0" w:color="auto"/>
                <w:right w:val="none" w:sz="0" w:space="0" w:color="auto"/>
              </w:divBdr>
            </w:div>
          </w:divsChild>
        </w:div>
        <w:div w:id="1904295760">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870589">
      <w:bodyDiv w:val="1"/>
      <w:marLeft w:val="0"/>
      <w:marRight w:val="0"/>
      <w:marTop w:val="0"/>
      <w:marBottom w:val="0"/>
      <w:divBdr>
        <w:top w:val="none" w:sz="0" w:space="0" w:color="auto"/>
        <w:left w:val="none" w:sz="0" w:space="0" w:color="auto"/>
        <w:bottom w:val="none" w:sz="0" w:space="0" w:color="auto"/>
        <w:right w:val="none" w:sz="0" w:space="0" w:color="auto"/>
      </w:divBdr>
      <w:divsChild>
        <w:div w:id="329060766">
          <w:marLeft w:val="0"/>
          <w:marRight w:val="0"/>
          <w:marTop w:val="0"/>
          <w:marBottom w:val="0"/>
          <w:divBdr>
            <w:top w:val="none" w:sz="0" w:space="0" w:color="auto"/>
            <w:left w:val="none" w:sz="0" w:space="0" w:color="auto"/>
            <w:bottom w:val="none" w:sz="0" w:space="0" w:color="auto"/>
            <w:right w:val="none" w:sz="0" w:space="0" w:color="auto"/>
          </w:divBdr>
        </w:div>
        <w:div w:id="409238327">
          <w:marLeft w:val="0"/>
          <w:marRight w:val="0"/>
          <w:marTop w:val="0"/>
          <w:marBottom w:val="0"/>
          <w:divBdr>
            <w:top w:val="none" w:sz="0" w:space="0" w:color="auto"/>
            <w:left w:val="none" w:sz="0" w:space="0" w:color="auto"/>
            <w:bottom w:val="none" w:sz="0" w:space="0" w:color="auto"/>
            <w:right w:val="none" w:sz="0" w:space="0" w:color="auto"/>
          </w:divBdr>
        </w:div>
        <w:div w:id="555749417">
          <w:marLeft w:val="0"/>
          <w:marRight w:val="0"/>
          <w:marTop w:val="0"/>
          <w:marBottom w:val="0"/>
          <w:divBdr>
            <w:top w:val="none" w:sz="0" w:space="0" w:color="auto"/>
            <w:left w:val="none" w:sz="0" w:space="0" w:color="auto"/>
            <w:bottom w:val="none" w:sz="0" w:space="0" w:color="auto"/>
            <w:right w:val="none" w:sz="0" w:space="0" w:color="auto"/>
          </w:divBdr>
        </w:div>
        <w:div w:id="560333566">
          <w:marLeft w:val="0"/>
          <w:marRight w:val="0"/>
          <w:marTop w:val="0"/>
          <w:marBottom w:val="0"/>
          <w:divBdr>
            <w:top w:val="none" w:sz="0" w:space="0" w:color="auto"/>
            <w:left w:val="none" w:sz="0" w:space="0" w:color="auto"/>
            <w:bottom w:val="none" w:sz="0" w:space="0" w:color="auto"/>
            <w:right w:val="none" w:sz="0" w:space="0" w:color="auto"/>
          </w:divBdr>
        </w:div>
        <w:div w:id="1015228011">
          <w:marLeft w:val="0"/>
          <w:marRight w:val="0"/>
          <w:marTop w:val="0"/>
          <w:marBottom w:val="0"/>
          <w:divBdr>
            <w:top w:val="none" w:sz="0" w:space="0" w:color="auto"/>
            <w:left w:val="none" w:sz="0" w:space="0" w:color="auto"/>
            <w:bottom w:val="none" w:sz="0" w:space="0" w:color="auto"/>
            <w:right w:val="none" w:sz="0" w:space="0" w:color="auto"/>
          </w:divBdr>
        </w:div>
        <w:div w:id="1666661481">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2116196">
      <w:bodyDiv w:val="1"/>
      <w:marLeft w:val="0"/>
      <w:marRight w:val="0"/>
      <w:marTop w:val="0"/>
      <w:marBottom w:val="0"/>
      <w:divBdr>
        <w:top w:val="none" w:sz="0" w:space="0" w:color="auto"/>
        <w:left w:val="none" w:sz="0" w:space="0" w:color="auto"/>
        <w:bottom w:val="none" w:sz="0" w:space="0" w:color="auto"/>
        <w:right w:val="none" w:sz="0" w:space="0" w:color="auto"/>
      </w:divBdr>
      <w:divsChild>
        <w:div w:id="448790728">
          <w:marLeft w:val="0"/>
          <w:marRight w:val="0"/>
          <w:marTop w:val="0"/>
          <w:marBottom w:val="0"/>
          <w:divBdr>
            <w:top w:val="none" w:sz="0" w:space="0" w:color="auto"/>
            <w:left w:val="none" w:sz="0" w:space="0" w:color="auto"/>
            <w:bottom w:val="none" w:sz="0" w:space="0" w:color="auto"/>
            <w:right w:val="none" w:sz="0" w:space="0" w:color="auto"/>
          </w:divBdr>
        </w:div>
        <w:div w:id="558515109">
          <w:marLeft w:val="0"/>
          <w:marRight w:val="0"/>
          <w:marTop w:val="0"/>
          <w:marBottom w:val="0"/>
          <w:divBdr>
            <w:top w:val="none" w:sz="0" w:space="0" w:color="auto"/>
            <w:left w:val="none" w:sz="0" w:space="0" w:color="auto"/>
            <w:bottom w:val="none" w:sz="0" w:space="0" w:color="auto"/>
            <w:right w:val="none" w:sz="0" w:space="0" w:color="auto"/>
          </w:divBdr>
        </w:div>
        <w:div w:id="837617589">
          <w:marLeft w:val="0"/>
          <w:marRight w:val="0"/>
          <w:marTop w:val="0"/>
          <w:marBottom w:val="0"/>
          <w:divBdr>
            <w:top w:val="none" w:sz="0" w:space="0" w:color="auto"/>
            <w:left w:val="none" w:sz="0" w:space="0" w:color="auto"/>
            <w:bottom w:val="none" w:sz="0" w:space="0" w:color="auto"/>
            <w:right w:val="none" w:sz="0" w:space="0" w:color="auto"/>
          </w:divBdr>
        </w:div>
        <w:div w:id="838812764">
          <w:marLeft w:val="0"/>
          <w:marRight w:val="0"/>
          <w:marTop w:val="0"/>
          <w:marBottom w:val="0"/>
          <w:divBdr>
            <w:top w:val="none" w:sz="0" w:space="0" w:color="auto"/>
            <w:left w:val="none" w:sz="0" w:space="0" w:color="auto"/>
            <w:bottom w:val="none" w:sz="0" w:space="0" w:color="auto"/>
            <w:right w:val="none" w:sz="0" w:space="0" w:color="auto"/>
          </w:divBdr>
        </w:div>
        <w:div w:id="1678116825">
          <w:marLeft w:val="0"/>
          <w:marRight w:val="0"/>
          <w:marTop w:val="0"/>
          <w:marBottom w:val="0"/>
          <w:divBdr>
            <w:top w:val="none" w:sz="0" w:space="0" w:color="auto"/>
            <w:left w:val="none" w:sz="0" w:space="0" w:color="auto"/>
            <w:bottom w:val="none" w:sz="0" w:space="0" w:color="auto"/>
            <w:right w:val="none" w:sz="0" w:space="0" w:color="auto"/>
          </w:divBdr>
        </w:div>
        <w:div w:id="2067487955">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51553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860755">
      <w:bodyDiv w:val="1"/>
      <w:marLeft w:val="0"/>
      <w:marRight w:val="0"/>
      <w:marTop w:val="0"/>
      <w:marBottom w:val="0"/>
      <w:divBdr>
        <w:top w:val="none" w:sz="0" w:space="0" w:color="auto"/>
        <w:left w:val="none" w:sz="0" w:space="0" w:color="auto"/>
        <w:bottom w:val="none" w:sz="0" w:space="0" w:color="auto"/>
        <w:right w:val="none" w:sz="0" w:space="0" w:color="auto"/>
      </w:divBdr>
      <w:divsChild>
        <w:div w:id="744108083">
          <w:marLeft w:val="0"/>
          <w:marRight w:val="0"/>
          <w:marTop w:val="0"/>
          <w:marBottom w:val="0"/>
          <w:divBdr>
            <w:top w:val="none" w:sz="0" w:space="0" w:color="auto"/>
            <w:left w:val="none" w:sz="0" w:space="0" w:color="auto"/>
            <w:bottom w:val="none" w:sz="0" w:space="0" w:color="auto"/>
            <w:right w:val="none" w:sz="0" w:space="0" w:color="auto"/>
          </w:divBdr>
        </w:div>
        <w:div w:id="1154447733">
          <w:marLeft w:val="0"/>
          <w:marRight w:val="0"/>
          <w:marTop w:val="0"/>
          <w:marBottom w:val="0"/>
          <w:divBdr>
            <w:top w:val="none" w:sz="0" w:space="0" w:color="auto"/>
            <w:left w:val="none" w:sz="0" w:space="0" w:color="auto"/>
            <w:bottom w:val="none" w:sz="0" w:space="0" w:color="auto"/>
            <w:right w:val="none" w:sz="0" w:space="0" w:color="auto"/>
          </w:divBdr>
        </w:div>
        <w:div w:id="1447000070">
          <w:marLeft w:val="0"/>
          <w:marRight w:val="0"/>
          <w:marTop w:val="0"/>
          <w:marBottom w:val="0"/>
          <w:divBdr>
            <w:top w:val="none" w:sz="0" w:space="0" w:color="auto"/>
            <w:left w:val="none" w:sz="0" w:space="0" w:color="auto"/>
            <w:bottom w:val="none" w:sz="0" w:space="0" w:color="auto"/>
            <w:right w:val="none" w:sz="0" w:space="0" w:color="auto"/>
          </w:divBdr>
        </w:div>
        <w:div w:id="1896622281">
          <w:marLeft w:val="0"/>
          <w:marRight w:val="0"/>
          <w:marTop w:val="0"/>
          <w:marBottom w:val="0"/>
          <w:divBdr>
            <w:top w:val="none" w:sz="0" w:space="0" w:color="auto"/>
            <w:left w:val="none" w:sz="0" w:space="0" w:color="auto"/>
            <w:bottom w:val="none" w:sz="0" w:space="0" w:color="auto"/>
            <w:right w:val="none" w:sz="0" w:space="0" w:color="auto"/>
          </w:divBdr>
          <w:divsChild>
            <w:div w:id="564024592">
              <w:marLeft w:val="0"/>
              <w:marRight w:val="0"/>
              <w:marTop w:val="0"/>
              <w:marBottom w:val="0"/>
              <w:divBdr>
                <w:top w:val="none" w:sz="0" w:space="0" w:color="auto"/>
                <w:left w:val="none" w:sz="0" w:space="0" w:color="auto"/>
                <w:bottom w:val="none" w:sz="0" w:space="0" w:color="auto"/>
                <w:right w:val="none" w:sz="0" w:space="0" w:color="auto"/>
              </w:divBdr>
            </w:div>
            <w:div w:id="615671878">
              <w:marLeft w:val="0"/>
              <w:marRight w:val="0"/>
              <w:marTop w:val="0"/>
              <w:marBottom w:val="0"/>
              <w:divBdr>
                <w:top w:val="none" w:sz="0" w:space="0" w:color="auto"/>
                <w:left w:val="none" w:sz="0" w:space="0" w:color="auto"/>
                <w:bottom w:val="none" w:sz="0" w:space="0" w:color="auto"/>
                <w:right w:val="none" w:sz="0" w:space="0" w:color="auto"/>
              </w:divBdr>
            </w:div>
            <w:div w:id="735859350">
              <w:marLeft w:val="0"/>
              <w:marRight w:val="0"/>
              <w:marTop w:val="0"/>
              <w:marBottom w:val="0"/>
              <w:divBdr>
                <w:top w:val="none" w:sz="0" w:space="0" w:color="auto"/>
                <w:left w:val="none" w:sz="0" w:space="0" w:color="auto"/>
                <w:bottom w:val="none" w:sz="0" w:space="0" w:color="auto"/>
                <w:right w:val="none" w:sz="0" w:space="0" w:color="auto"/>
              </w:divBdr>
            </w:div>
            <w:div w:id="904337381">
              <w:marLeft w:val="0"/>
              <w:marRight w:val="0"/>
              <w:marTop w:val="0"/>
              <w:marBottom w:val="0"/>
              <w:divBdr>
                <w:top w:val="none" w:sz="0" w:space="0" w:color="auto"/>
                <w:left w:val="none" w:sz="0" w:space="0" w:color="auto"/>
                <w:bottom w:val="none" w:sz="0" w:space="0" w:color="auto"/>
                <w:right w:val="none" w:sz="0" w:space="0" w:color="auto"/>
              </w:divBdr>
            </w:div>
            <w:div w:id="1519737647">
              <w:marLeft w:val="0"/>
              <w:marRight w:val="0"/>
              <w:marTop w:val="0"/>
              <w:marBottom w:val="0"/>
              <w:divBdr>
                <w:top w:val="none" w:sz="0" w:space="0" w:color="auto"/>
                <w:left w:val="none" w:sz="0" w:space="0" w:color="auto"/>
                <w:bottom w:val="none" w:sz="0" w:space="0" w:color="auto"/>
                <w:right w:val="none" w:sz="0" w:space="0" w:color="auto"/>
              </w:divBdr>
            </w:div>
            <w:div w:id="170964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622163">
      <w:bodyDiv w:val="1"/>
      <w:marLeft w:val="0"/>
      <w:marRight w:val="0"/>
      <w:marTop w:val="0"/>
      <w:marBottom w:val="0"/>
      <w:divBdr>
        <w:top w:val="none" w:sz="0" w:space="0" w:color="auto"/>
        <w:left w:val="none" w:sz="0" w:space="0" w:color="auto"/>
        <w:bottom w:val="none" w:sz="0" w:space="0" w:color="auto"/>
        <w:right w:val="none" w:sz="0" w:space="0" w:color="auto"/>
      </w:divBdr>
      <w:divsChild>
        <w:div w:id="6294276">
          <w:marLeft w:val="0"/>
          <w:marRight w:val="0"/>
          <w:marTop w:val="0"/>
          <w:marBottom w:val="0"/>
          <w:divBdr>
            <w:top w:val="none" w:sz="0" w:space="0" w:color="auto"/>
            <w:left w:val="none" w:sz="0" w:space="0" w:color="auto"/>
            <w:bottom w:val="none" w:sz="0" w:space="0" w:color="auto"/>
            <w:right w:val="none" w:sz="0" w:space="0" w:color="auto"/>
          </w:divBdr>
        </w:div>
        <w:div w:id="643588532">
          <w:marLeft w:val="0"/>
          <w:marRight w:val="0"/>
          <w:marTop w:val="0"/>
          <w:marBottom w:val="0"/>
          <w:divBdr>
            <w:top w:val="none" w:sz="0" w:space="0" w:color="auto"/>
            <w:left w:val="none" w:sz="0" w:space="0" w:color="auto"/>
            <w:bottom w:val="none" w:sz="0" w:space="0" w:color="auto"/>
            <w:right w:val="none" w:sz="0" w:space="0" w:color="auto"/>
          </w:divBdr>
        </w:div>
        <w:div w:id="1255288803">
          <w:marLeft w:val="0"/>
          <w:marRight w:val="0"/>
          <w:marTop w:val="0"/>
          <w:marBottom w:val="0"/>
          <w:divBdr>
            <w:top w:val="none" w:sz="0" w:space="0" w:color="auto"/>
            <w:left w:val="none" w:sz="0" w:space="0" w:color="auto"/>
            <w:bottom w:val="none" w:sz="0" w:space="0" w:color="auto"/>
            <w:right w:val="none" w:sz="0" w:space="0" w:color="auto"/>
          </w:divBdr>
        </w:div>
        <w:div w:id="2127890477">
          <w:marLeft w:val="0"/>
          <w:marRight w:val="0"/>
          <w:marTop w:val="0"/>
          <w:marBottom w:val="0"/>
          <w:divBdr>
            <w:top w:val="none" w:sz="0" w:space="0" w:color="auto"/>
            <w:left w:val="none" w:sz="0" w:space="0" w:color="auto"/>
            <w:bottom w:val="none" w:sz="0" w:space="0" w:color="auto"/>
            <w:right w:val="none" w:sz="0" w:space="0" w:color="auto"/>
          </w:divBdr>
          <w:divsChild>
            <w:div w:id="288902351">
              <w:marLeft w:val="0"/>
              <w:marRight w:val="0"/>
              <w:marTop w:val="0"/>
              <w:marBottom w:val="0"/>
              <w:divBdr>
                <w:top w:val="none" w:sz="0" w:space="0" w:color="auto"/>
                <w:left w:val="none" w:sz="0" w:space="0" w:color="auto"/>
                <w:bottom w:val="none" w:sz="0" w:space="0" w:color="auto"/>
                <w:right w:val="none" w:sz="0" w:space="0" w:color="auto"/>
              </w:divBdr>
            </w:div>
            <w:div w:id="1258756467">
              <w:marLeft w:val="0"/>
              <w:marRight w:val="0"/>
              <w:marTop w:val="0"/>
              <w:marBottom w:val="0"/>
              <w:divBdr>
                <w:top w:val="none" w:sz="0" w:space="0" w:color="auto"/>
                <w:left w:val="none" w:sz="0" w:space="0" w:color="auto"/>
                <w:bottom w:val="none" w:sz="0" w:space="0" w:color="auto"/>
                <w:right w:val="none" w:sz="0" w:space="0" w:color="auto"/>
              </w:divBdr>
            </w:div>
            <w:div w:id="1452626702">
              <w:marLeft w:val="0"/>
              <w:marRight w:val="0"/>
              <w:marTop w:val="0"/>
              <w:marBottom w:val="0"/>
              <w:divBdr>
                <w:top w:val="none" w:sz="0" w:space="0" w:color="auto"/>
                <w:left w:val="none" w:sz="0" w:space="0" w:color="auto"/>
                <w:bottom w:val="none" w:sz="0" w:space="0" w:color="auto"/>
                <w:right w:val="none" w:sz="0" w:space="0" w:color="auto"/>
              </w:divBdr>
            </w:div>
            <w:div w:id="1632320934">
              <w:marLeft w:val="0"/>
              <w:marRight w:val="0"/>
              <w:marTop w:val="0"/>
              <w:marBottom w:val="0"/>
              <w:divBdr>
                <w:top w:val="none" w:sz="0" w:space="0" w:color="auto"/>
                <w:left w:val="none" w:sz="0" w:space="0" w:color="auto"/>
                <w:bottom w:val="none" w:sz="0" w:space="0" w:color="auto"/>
                <w:right w:val="none" w:sz="0" w:space="0" w:color="auto"/>
              </w:divBdr>
            </w:div>
            <w:div w:id="1697071899">
              <w:marLeft w:val="0"/>
              <w:marRight w:val="0"/>
              <w:marTop w:val="0"/>
              <w:marBottom w:val="0"/>
              <w:divBdr>
                <w:top w:val="none" w:sz="0" w:space="0" w:color="auto"/>
                <w:left w:val="none" w:sz="0" w:space="0" w:color="auto"/>
                <w:bottom w:val="none" w:sz="0" w:space="0" w:color="auto"/>
                <w:right w:val="none" w:sz="0" w:space="0" w:color="auto"/>
              </w:divBdr>
            </w:div>
            <w:div w:id="191800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172371">
      <w:bodyDiv w:val="1"/>
      <w:marLeft w:val="0"/>
      <w:marRight w:val="0"/>
      <w:marTop w:val="0"/>
      <w:marBottom w:val="0"/>
      <w:divBdr>
        <w:top w:val="none" w:sz="0" w:space="0" w:color="auto"/>
        <w:left w:val="none" w:sz="0" w:space="0" w:color="auto"/>
        <w:bottom w:val="none" w:sz="0" w:space="0" w:color="auto"/>
        <w:right w:val="none" w:sz="0" w:space="0" w:color="auto"/>
      </w:divBdr>
      <w:divsChild>
        <w:div w:id="326522188">
          <w:marLeft w:val="0"/>
          <w:marRight w:val="0"/>
          <w:marTop w:val="0"/>
          <w:marBottom w:val="0"/>
          <w:divBdr>
            <w:top w:val="none" w:sz="0" w:space="0" w:color="auto"/>
            <w:left w:val="none" w:sz="0" w:space="0" w:color="auto"/>
            <w:bottom w:val="none" w:sz="0" w:space="0" w:color="auto"/>
            <w:right w:val="none" w:sz="0" w:space="0" w:color="auto"/>
          </w:divBdr>
          <w:divsChild>
            <w:div w:id="174272253">
              <w:marLeft w:val="0"/>
              <w:marRight w:val="0"/>
              <w:marTop w:val="0"/>
              <w:marBottom w:val="0"/>
              <w:divBdr>
                <w:top w:val="none" w:sz="0" w:space="0" w:color="auto"/>
                <w:left w:val="none" w:sz="0" w:space="0" w:color="auto"/>
                <w:bottom w:val="none" w:sz="0" w:space="0" w:color="auto"/>
                <w:right w:val="none" w:sz="0" w:space="0" w:color="auto"/>
              </w:divBdr>
            </w:div>
            <w:div w:id="572399498">
              <w:marLeft w:val="0"/>
              <w:marRight w:val="0"/>
              <w:marTop w:val="0"/>
              <w:marBottom w:val="0"/>
              <w:divBdr>
                <w:top w:val="none" w:sz="0" w:space="0" w:color="auto"/>
                <w:left w:val="none" w:sz="0" w:space="0" w:color="auto"/>
                <w:bottom w:val="none" w:sz="0" w:space="0" w:color="auto"/>
                <w:right w:val="none" w:sz="0" w:space="0" w:color="auto"/>
              </w:divBdr>
            </w:div>
            <w:div w:id="1044672003">
              <w:marLeft w:val="0"/>
              <w:marRight w:val="0"/>
              <w:marTop w:val="0"/>
              <w:marBottom w:val="0"/>
              <w:divBdr>
                <w:top w:val="none" w:sz="0" w:space="0" w:color="auto"/>
                <w:left w:val="none" w:sz="0" w:space="0" w:color="auto"/>
                <w:bottom w:val="none" w:sz="0" w:space="0" w:color="auto"/>
                <w:right w:val="none" w:sz="0" w:space="0" w:color="auto"/>
              </w:divBdr>
            </w:div>
            <w:div w:id="1474710189">
              <w:marLeft w:val="0"/>
              <w:marRight w:val="0"/>
              <w:marTop w:val="0"/>
              <w:marBottom w:val="0"/>
              <w:divBdr>
                <w:top w:val="none" w:sz="0" w:space="0" w:color="auto"/>
                <w:left w:val="none" w:sz="0" w:space="0" w:color="auto"/>
                <w:bottom w:val="none" w:sz="0" w:space="0" w:color="auto"/>
                <w:right w:val="none" w:sz="0" w:space="0" w:color="auto"/>
              </w:divBdr>
            </w:div>
            <w:div w:id="1783064714">
              <w:marLeft w:val="0"/>
              <w:marRight w:val="0"/>
              <w:marTop w:val="0"/>
              <w:marBottom w:val="0"/>
              <w:divBdr>
                <w:top w:val="none" w:sz="0" w:space="0" w:color="auto"/>
                <w:left w:val="none" w:sz="0" w:space="0" w:color="auto"/>
                <w:bottom w:val="none" w:sz="0" w:space="0" w:color="auto"/>
                <w:right w:val="none" w:sz="0" w:space="0" w:color="auto"/>
              </w:divBdr>
            </w:div>
            <w:div w:id="1962301408">
              <w:marLeft w:val="0"/>
              <w:marRight w:val="0"/>
              <w:marTop w:val="0"/>
              <w:marBottom w:val="0"/>
              <w:divBdr>
                <w:top w:val="none" w:sz="0" w:space="0" w:color="auto"/>
                <w:left w:val="none" w:sz="0" w:space="0" w:color="auto"/>
                <w:bottom w:val="none" w:sz="0" w:space="0" w:color="auto"/>
                <w:right w:val="none" w:sz="0" w:space="0" w:color="auto"/>
              </w:divBdr>
            </w:div>
          </w:divsChild>
        </w:div>
        <w:div w:id="366033310">
          <w:marLeft w:val="0"/>
          <w:marRight w:val="0"/>
          <w:marTop w:val="0"/>
          <w:marBottom w:val="0"/>
          <w:divBdr>
            <w:top w:val="none" w:sz="0" w:space="0" w:color="auto"/>
            <w:left w:val="none" w:sz="0" w:space="0" w:color="auto"/>
            <w:bottom w:val="none" w:sz="0" w:space="0" w:color="auto"/>
            <w:right w:val="none" w:sz="0" w:space="0" w:color="auto"/>
          </w:divBdr>
        </w:div>
        <w:div w:id="1156796270">
          <w:marLeft w:val="0"/>
          <w:marRight w:val="0"/>
          <w:marTop w:val="0"/>
          <w:marBottom w:val="0"/>
          <w:divBdr>
            <w:top w:val="none" w:sz="0" w:space="0" w:color="auto"/>
            <w:left w:val="none" w:sz="0" w:space="0" w:color="auto"/>
            <w:bottom w:val="none" w:sz="0" w:space="0" w:color="auto"/>
            <w:right w:val="none" w:sz="0" w:space="0" w:color="auto"/>
          </w:divBdr>
        </w:div>
        <w:div w:id="2005627206">
          <w:marLeft w:val="0"/>
          <w:marRight w:val="0"/>
          <w:marTop w:val="0"/>
          <w:marBottom w:val="0"/>
          <w:divBdr>
            <w:top w:val="none" w:sz="0" w:space="0" w:color="auto"/>
            <w:left w:val="none" w:sz="0" w:space="0" w:color="auto"/>
            <w:bottom w:val="none" w:sz="0" w:space="0" w:color="auto"/>
            <w:right w:val="none" w:sz="0" w:space="0" w:color="auto"/>
          </w:divBdr>
        </w:div>
      </w:divsChild>
    </w:div>
    <w:div w:id="111190335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1966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38468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09757">
      <w:bodyDiv w:val="1"/>
      <w:marLeft w:val="0"/>
      <w:marRight w:val="0"/>
      <w:marTop w:val="0"/>
      <w:marBottom w:val="0"/>
      <w:divBdr>
        <w:top w:val="none" w:sz="0" w:space="0" w:color="auto"/>
        <w:left w:val="none" w:sz="0" w:space="0" w:color="auto"/>
        <w:bottom w:val="none" w:sz="0" w:space="0" w:color="auto"/>
        <w:right w:val="none" w:sz="0" w:space="0" w:color="auto"/>
      </w:divBdr>
      <w:divsChild>
        <w:div w:id="652492303">
          <w:marLeft w:val="0"/>
          <w:marRight w:val="0"/>
          <w:marTop w:val="0"/>
          <w:marBottom w:val="0"/>
          <w:divBdr>
            <w:top w:val="none" w:sz="0" w:space="0" w:color="auto"/>
            <w:left w:val="none" w:sz="0" w:space="0" w:color="auto"/>
            <w:bottom w:val="none" w:sz="0" w:space="0" w:color="auto"/>
            <w:right w:val="none" w:sz="0" w:space="0" w:color="auto"/>
          </w:divBdr>
        </w:div>
        <w:div w:id="828012403">
          <w:marLeft w:val="0"/>
          <w:marRight w:val="0"/>
          <w:marTop w:val="0"/>
          <w:marBottom w:val="0"/>
          <w:divBdr>
            <w:top w:val="none" w:sz="0" w:space="0" w:color="auto"/>
            <w:left w:val="none" w:sz="0" w:space="0" w:color="auto"/>
            <w:bottom w:val="none" w:sz="0" w:space="0" w:color="auto"/>
            <w:right w:val="none" w:sz="0" w:space="0" w:color="auto"/>
          </w:divBdr>
          <w:divsChild>
            <w:div w:id="127406740">
              <w:marLeft w:val="0"/>
              <w:marRight w:val="0"/>
              <w:marTop w:val="0"/>
              <w:marBottom w:val="0"/>
              <w:divBdr>
                <w:top w:val="none" w:sz="0" w:space="0" w:color="auto"/>
                <w:left w:val="none" w:sz="0" w:space="0" w:color="auto"/>
                <w:bottom w:val="none" w:sz="0" w:space="0" w:color="auto"/>
                <w:right w:val="none" w:sz="0" w:space="0" w:color="auto"/>
              </w:divBdr>
            </w:div>
            <w:div w:id="289553378">
              <w:marLeft w:val="0"/>
              <w:marRight w:val="0"/>
              <w:marTop w:val="0"/>
              <w:marBottom w:val="0"/>
              <w:divBdr>
                <w:top w:val="none" w:sz="0" w:space="0" w:color="auto"/>
                <w:left w:val="none" w:sz="0" w:space="0" w:color="auto"/>
                <w:bottom w:val="none" w:sz="0" w:space="0" w:color="auto"/>
                <w:right w:val="none" w:sz="0" w:space="0" w:color="auto"/>
              </w:divBdr>
            </w:div>
            <w:div w:id="599413262">
              <w:marLeft w:val="0"/>
              <w:marRight w:val="0"/>
              <w:marTop w:val="0"/>
              <w:marBottom w:val="0"/>
              <w:divBdr>
                <w:top w:val="none" w:sz="0" w:space="0" w:color="auto"/>
                <w:left w:val="none" w:sz="0" w:space="0" w:color="auto"/>
                <w:bottom w:val="none" w:sz="0" w:space="0" w:color="auto"/>
                <w:right w:val="none" w:sz="0" w:space="0" w:color="auto"/>
              </w:divBdr>
            </w:div>
            <w:div w:id="857885634">
              <w:marLeft w:val="0"/>
              <w:marRight w:val="0"/>
              <w:marTop w:val="0"/>
              <w:marBottom w:val="0"/>
              <w:divBdr>
                <w:top w:val="none" w:sz="0" w:space="0" w:color="auto"/>
                <w:left w:val="none" w:sz="0" w:space="0" w:color="auto"/>
                <w:bottom w:val="none" w:sz="0" w:space="0" w:color="auto"/>
                <w:right w:val="none" w:sz="0" w:space="0" w:color="auto"/>
              </w:divBdr>
            </w:div>
            <w:div w:id="1693147757">
              <w:marLeft w:val="0"/>
              <w:marRight w:val="0"/>
              <w:marTop w:val="0"/>
              <w:marBottom w:val="0"/>
              <w:divBdr>
                <w:top w:val="none" w:sz="0" w:space="0" w:color="auto"/>
                <w:left w:val="none" w:sz="0" w:space="0" w:color="auto"/>
                <w:bottom w:val="none" w:sz="0" w:space="0" w:color="auto"/>
                <w:right w:val="none" w:sz="0" w:space="0" w:color="auto"/>
              </w:divBdr>
            </w:div>
            <w:div w:id="1964145887">
              <w:marLeft w:val="0"/>
              <w:marRight w:val="0"/>
              <w:marTop w:val="0"/>
              <w:marBottom w:val="0"/>
              <w:divBdr>
                <w:top w:val="none" w:sz="0" w:space="0" w:color="auto"/>
                <w:left w:val="none" w:sz="0" w:space="0" w:color="auto"/>
                <w:bottom w:val="none" w:sz="0" w:space="0" w:color="auto"/>
                <w:right w:val="none" w:sz="0" w:space="0" w:color="auto"/>
              </w:divBdr>
            </w:div>
          </w:divsChild>
        </w:div>
        <w:div w:id="1795319578">
          <w:marLeft w:val="0"/>
          <w:marRight w:val="0"/>
          <w:marTop w:val="0"/>
          <w:marBottom w:val="0"/>
          <w:divBdr>
            <w:top w:val="none" w:sz="0" w:space="0" w:color="auto"/>
            <w:left w:val="none" w:sz="0" w:space="0" w:color="auto"/>
            <w:bottom w:val="none" w:sz="0" w:space="0" w:color="auto"/>
            <w:right w:val="none" w:sz="0" w:space="0" w:color="auto"/>
          </w:divBdr>
        </w:div>
        <w:div w:id="1976061801">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3939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5AIRPNAIUNRU-1830940522-14771</_dlc_DocId>
    <_dlc_DocIdUrl xmlns="71c5aaf6-e6ce-465b-b873-5148d2a4c105">
      <Url>https://nokia.sharepoint.com/sites/c5g/5gradio/_layouts/15/DocIdRedir.aspx?ID=5AIRPNAIUNRU-1830940522-14771</Url>
      <Description>5AIRPNAIUNRU-1830940522-14771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105</TotalTime>
  <Pages>12</Pages>
  <Words>4850</Words>
  <Characters>26117</Characters>
  <Application>Microsoft Office Word</Application>
  <DocSecurity>0</DocSecurity>
  <Lines>217</Lines>
  <Paragraphs>61</Paragraphs>
  <ScaleCrop>false</ScaleCrop>
  <Company>Nokia &amp; NSN</Company>
  <LinksUpToDate>false</LinksUpToDate>
  <CharactersWithSpaces>30906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Yuk, Youngsoo (Nokia - KR/Seoul)</cp:lastModifiedBy>
  <cp:revision>387</cp:revision>
  <cp:lastPrinted>2016-06-21T07:35:00Z</cp:lastPrinted>
  <dcterms:created xsi:type="dcterms:W3CDTF">2022-03-30T09:19:00Z</dcterms:created>
  <dcterms:modified xsi:type="dcterms:W3CDTF">2022-04-29T17:55:00Z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d9d4aeda-3d7c-4265-82e5-73032497ca39</vt:lpwstr>
  </property>
</Properties>
</file>